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43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630"/>
        <w:gridCol w:w="5603"/>
      </w:tblGrid>
      <w:tr w:rsidR="007F7172" w:rsidRPr="00733566" w14:paraId="3F195D02" w14:textId="77777777" w:rsidTr="00017670">
        <w:tc>
          <w:tcPr>
            <w:tcW w:w="5040" w:type="dxa"/>
            <w:gridSpan w:val="2"/>
          </w:tcPr>
          <w:p w14:paraId="542F68A5" w14:textId="2B79251B" w:rsidR="007F7172" w:rsidRPr="00733566" w:rsidRDefault="005F59C8" w:rsidP="004B4599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ÔNG TY </w:t>
            </w:r>
            <w:r w:rsidR="004B4599">
              <w:rPr>
                <w:rFonts w:ascii="Times New Roman" w:eastAsia="Times New Roman" w:hAnsi="Times New Roman" w:cs="Times New Roman"/>
                <w:b/>
              </w:rPr>
              <w:t>CP CÔNG TRÌNH HÀNG KHÔNG</w:t>
            </w:r>
          </w:p>
        </w:tc>
        <w:tc>
          <w:tcPr>
            <w:tcW w:w="5603" w:type="dxa"/>
          </w:tcPr>
          <w:p w14:paraId="39CE6C31" w14:textId="77777777" w:rsidR="007F7172" w:rsidRPr="00733566" w:rsidRDefault="00733566" w:rsidP="007335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3566">
              <w:rPr>
                <w:rFonts w:ascii="Times New Roman" w:eastAsia="Times New Roman" w:hAnsi="Times New Roman" w:cs="Times New Roman"/>
                <w:b/>
              </w:rPr>
              <w:t>CỘNG HÒA XÃ HỘI CHỦ NGHĨA VIỆT NAM</w:t>
            </w:r>
          </w:p>
        </w:tc>
      </w:tr>
      <w:tr w:rsidR="007F7172" w:rsidRPr="00733566" w14:paraId="2152F2CB" w14:textId="77777777" w:rsidTr="004B4599">
        <w:trPr>
          <w:trHeight w:val="427"/>
        </w:trPr>
        <w:tc>
          <w:tcPr>
            <w:tcW w:w="4410" w:type="dxa"/>
          </w:tcPr>
          <w:p w14:paraId="4B11DAF6" w14:textId="1FD1AE6A" w:rsidR="007F7172" w:rsidRPr="00733566" w:rsidRDefault="00A8475A" w:rsidP="004B45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 KIỂM SOÁT</w:t>
            </w:r>
          </w:p>
        </w:tc>
        <w:tc>
          <w:tcPr>
            <w:tcW w:w="6233" w:type="dxa"/>
            <w:gridSpan w:val="2"/>
          </w:tcPr>
          <w:p w14:paraId="0709E2EB" w14:textId="77777777" w:rsidR="007F7172" w:rsidRPr="00733566" w:rsidRDefault="00733566" w:rsidP="007335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733566">
              <w:rPr>
                <w:rFonts w:ascii="Times New Roman" w:eastAsia="Times New Roman" w:hAnsi="Times New Roman" w:cs="Times New Roman"/>
                <w:b/>
                <w:u w:val="single"/>
              </w:rPr>
              <w:t>Độc lập – Tự do – Hạnh phúc</w:t>
            </w:r>
          </w:p>
        </w:tc>
      </w:tr>
      <w:tr w:rsidR="007F7172" w:rsidRPr="00733566" w14:paraId="68995AF8" w14:textId="77777777" w:rsidTr="00017670">
        <w:tc>
          <w:tcPr>
            <w:tcW w:w="4410" w:type="dxa"/>
          </w:tcPr>
          <w:p w14:paraId="0AA4484E" w14:textId="0F6C35B6" w:rsidR="00ED76D6" w:rsidRDefault="00ED76D6" w:rsidP="00ED76D6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063909AD" w14:textId="45555172" w:rsidR="007F7172" w:rsidRPr="00733566" w:rsidRDefault="00ED76D6" w:rsidP="00A8475A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                 </w:t>
            </w:r>
          </w:p>
        </w:tc>
        <w:tc>
          <w:tcPr>
            <w:tcW w:w="6233" w:type="dxa"/>
            <w:gridSpan w:val="2"/>
          </w:tcPr>
          <w:p w14:paraId="5534E09A" w14:textId="0828AF68" w:rsidR="00733566" w:rsidRPr="00733566" w:rsidRDefault="00534CA9" w:rsidP="00534C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                      </w:t>
            </w:r>
            <w:r w:rsidR="00733566" w:rsidRPr="00733566">
              <w:rPr>
                <w:rFonts w:ascii="Times New Roman" w:eastAsia="Times New Roman" w:hAnsi="Times New Roman" w:cs="Times New Roman"/>
                <w:i/>
              </w:rPr>
              <w:t xml:space="preserve">Hà nội, ngày </w:t>
            </w:r>
            <w:r w:rsidR="0001767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08</w:t>
            </w:r>
            <w:r w:rsidR="0001767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33566" w:rsidRPr="00733566">
              <w:rPr>
                <w:rFonts w:ascii="Times New Roman" w:eastAsia="Times New Roman" w:hAnsi="Times New Roman" w:cs="Times New Roman"/>
                <w:i/>
              </w:rPr>
              <w:t>tháng</w:t>
            </w:r>
            <w:r w:rsidR="009906C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3F47E4">
              <w:rPr>
                <w:rFonts w:ascii="Times New Roman" w:eastAsia="Times New Roman" w:hAnsi="Times New Roman" w:cs="Times New Roman"/>
                <w:i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</w:rPr>
              <w:t>6</w:t>
            </w:r>
            <w:r w:rsidR="003F47E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33566" w:rsidRPr="00733566">
              <w:rPr>
                <w:rFonts w:ascii="Times New Roman" w:eastAsia="Times New Roman" w:hAnsi="Times New Roman" w:cs="Times New Roman"/>
                <w:i/>
              </w:rPr>
              <w:t>năm 20</w:t>
            </w:r>
            <w:r w:rsidR="003F47E4">
              <w:rPr>
                <w:rFonts w:ascii="Times New Roman" w:eastAsia="Times New Roman" w:hAnsi="Times New Roman" w:cs="Times New Roman"/>
                <w:i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</w:tr>
    </w:tbl>
    <w:p w14:paraId="7312EC36" w14:textId="77777777" w:rsidR="001061AB" w:rsidRDefault="001061AB" w:rsidP="00F052BD">
      <w:pPr>
        <w:spacing w:after="0" w:line="360" w:lineRule="auto"/>
        <w:ind w:left="1440" w:firstLine="720"/>
        <w:jc w:val="center"/>
        <w:rPr>
          <w:rFonts w:ascii="Times New Roman" w:eastAsia="Times New Roman" w:hAnsi="Times New Roman" w:cs="Times New Roman"/>
          <w:b/>
          <w:i/>
          <w:sz w:val="26"/>
          <w:szCs w:val="24"/>
          <w:u w:val="single"/>
        </w:rPr>
      </w:pPr>
    </w:p>
    <w:p w14:paraId="6B484446" w14:textId="4FA898E9" w:rsidR="00A8475A" w:rsidRPr="00534CA9" w:rsidRDefault="00534CA9" w:rsidP="00534CA9">
      <w:pPr>
        <w:spacing w:after="0" w:line="360" w:lineRule="auto"/>
        <w:ind w:left="1440" w:firstLine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 w:rsidR="00A8475A" w:rsidRPr="00534CA9">
        <w:rPr>
          <w:rFonts w:ascii="Times New Roman" w:eastAsia="Times New Roman" w:hAnsi="Times New Roman" w:cs="Times New Roman"/>
          <w:b/>
          <w:sz w:val="32"/>
          <w:szCs w:val="32"/>
        </w:rPr>
        <w:t>BÁO CÁO</w:t>
      </w:r>
    </w:p>
    <w:p w14:paraId="29C7BC9B" w14:textId="5F0DF68E" w:rsidR="00534CA9" w:rsidRDefault="00A8475A" w:rsidP="00534C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CỦA BAN KIỂM SOÁT VỀ KẾT</w:t>
      </w:r>
      <w:r w:rsidR="00430EEB">
        <w:rPr>
          <w:rFonts w:ascii="Times New Roman" w:eastAsia="Times New Roman" w:hAnsi="Times New Roman" w:cs="Times New Roman"/>
          <w:b/>
          <w:sz w:val="24"/>
          <w:szCs w:val="24"/>
        </w:rPr>
        <w:t xml:space="preserve"> QUẢ HOẠT ĐỘNG NĂM 2021</w:t>
      </w:r>
    </w:p>
    <w:p w14:paraId="37FCBFBD" w14:textId="2243D4C9" w:rsidR="00611537" w:rsidRDefault="00430EEB" w:rsidP="00534C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VÀ KẾ HOẠCH HOẠT ĐỘNG NĂM 2022</w:t>
      </w:r>
      <w:bookmarkStart w:id="0" w:name="_GoBack"/>
      <w:bookmarkEnd w:id="0"/>
    </w:p>
    <w:p w14:paraId="5E2EECEE" w14:textId="77777777" w:rsidR="007554C3" w:rsidRPr="00611537" w:rsidRDefault="007554C3" w:rsidP="00F052BD">
      <w:pPr>
        <w:spacing w:after="0" w:line="360" w:lineRule="auto"/>
        <w:ind w:left="144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B2EBEE" w14:textId="77777777" w:rsidR="00611537" w:rsidRPr="00611537" w:rsidRDefault="00611537" w:rsidP="00F518A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203D952" w14:textId="717B0F20" w:rsidR="005841E7" w:rsidRPr="00B8101B" w:rsidRDefault="005841E7" w:rsidP="002B11B0">
      <w:pPr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6843CE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Căn cứ Luật doanh nghiệp số 59/2020/QH14 ngày 17/06/2020.</w:t>
      </w:r>
    </w:p>
    <w:p w14:paraId="1900419A" w14:textId="75C876AB" w:rsidR="006843CE" w:rsidRPr="00B8101B" w:rsidRDefault="006843CE" w:rsidP="002B11B0">
      <w:pPr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Căn cứ vào điều lệ </w:t>
      </w:r>
      <w:r w:rsidR="00FC007B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năm 2016 của Công ty cổ phần công trình Hàng không.</w:t>
      </w:r>
    </w:p>
    <w:p w14:paraId="1FBE06B0" w14:textId="77777777" w:rsidR="00FC007B" w:rsidRPr="00B8101B" w:rsidRDefault="00FC007B" w:rsidP="00FC007B">
      <w:pPr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Căn cứ vào quy chế tổ chức hoạt động của Ban kiểm soát Công ty cổ phần công trình Hàng không.</w:t>
      </w:r>
    </w:p>
    <w:p w14:paraId="7557785C" w14:textId="1929ECDD" w:rsidR="00C13345" w:rsidRPr="00B8101B" w:rsidRDefault="00FC007B" w:rsidP="002B11B0">
      <w:pPr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Ban kiểm soát t</w:t>
      </w:r>
      <w:r w:rsidR="00C13345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hực hiện nhiệm vụ </w:t>
      </w:r>
      <w:r w:rsidR="00335F5C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giám sát việc tuân thủ các quy định của pháp luật trong việc quản </w:t>
      </w:r>
      <w:r w:rsidR="00DA4595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lý</w:t>
      </w:r>
      <w:r w:rsidR="00335F5C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và điều hành hoạt động sản xuất kinh doanh, thẩm định báo cáo tài chính năm </w:t>
      </w:r>
      <w:r w:rsidR="00DA4595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năm </w:t>
      </w:r>
      <w:r w:rsidR="00335F5C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2021 của Công ty.</w:t>
      </w:r>
    </w:p>
    <w:p w14:paraId="1C41D0A5" w14:textId="7DCE905D" w:rsidR="007C76C7" w:rsidRPr="00B8101B" w:rsidRDefault="00C13345" w:rsidP="002B11B0">
      <w:pPr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Ban kiểm soát Báo cáo Đại hội Hội đồng Cổ đông(ĐHĐCĐ) thường niên về kết quả hoạt động năm 202</w:t>
      </w:r>
      <w:r w:rsidR="00335F5C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và kế hoạch hoạt động năm 202</w:t>
      </w:r>
      <w:r w:rsidR="00335F5C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 cụ thể như sau: </w:t>
      </w:r>
    </w:p>
    <w:p w14:paraId="7613C2EF" w14:textId="279D2E4E" w:rsidR="00655B04" w:rsidRPr="00B8101B" w:rsidRDefault="00655B04" w:rsidP="002B11B0">
      <w:pPr>
        <w:spacing w:before="120"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B8101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PHẦN I : KẾT QUẢ HOẠT ĐỘNG CỦA BAN KIỂM SOÁT</w:t>
      </w:r>
      <w:r w:rsidR="00AF4722" w:rsidRPr="00B8101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(BKS).</w:t>
      </w:r>
    </w:p>
    <w:p w14:paraId="11C8CFA8" w14:textId="7062B7A4" w:rsidR="00655B04" w:rsidRPr="00B8101B" w:rsidRDefault="005A341D" w:rsidP="002B11B0">
      <w:pPr>
        <w:spacing w:before="120"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B8101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A</w:t>
      </w:r>
      <w:r w:rsidR="00655B04" w:rsidRPr="00B8101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/ Đánh giá chung kết quả hoạt động của năm 202</w:t>
      </w:r>
      <w:r w:rsidR="00DF170C" w:rsidRPr="00B8101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</w:t>
      </w:r>
      <w:r w:rsidR="00655B04" w:rsidRPr="00B8101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:</w:t>
      </w:r>
    </w:p>
    <w:p w14:paraId="6338B08E" w14:textId="425AB158" w:rsidR="00655B04" w:rsidRPr="00B8101B" w:rsidRDefault="005A341D" w:rsidP="00BB59AF">
      <w:pPr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8101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1/ Tổ chức bộ máy</w:t>
      </w:r>
      <w:r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:</w:t>
      </w:r>
      <w:r w:rsidR="00655B04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Ban kiểm soát nhiệm kỳ năm 202</w:t>
      </w:r>
      <w:r w:rsidR="00DF170C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 w:rsidR="00655B04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-202</w:t>
      </w:r>
      <w:r w:rsidR="00DF170C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</w:t>
      </w:r>
      <w:r w:rsidR="00655B04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có 03 thành viên  </w:t>
      </w:r>
      <w:r w:rsidR="00373CA8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gồm</w:t>
      </w:r>
      <w:r w:rsidR="00655B04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: </w:t>
      </w:r>
    </w:p>
    <w:p w14:paraId="36F160A6" w14:textId="696809DD" w:rsidR="00655B04" w:rsidRPr="00B8101B" w:rsidRDefault="00655B04" w:rsidP="00655B04">
      <w:pPr>
        <w:pStyle w:val="ListParagraph"/>
        <w:numPr>
          <w:ilvl w:val="0"/>
          <w:numId w:val="2"/>
        </w:numPr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Nguyễn Thị Dư                   </w:t>
      </w:r>
      <w:r w:rsidR="00FA788B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</w:t>
      </w:r>
      <w:r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- Trưởng ban </w:t>
      </w:r>
    </w:p>
    <w:p w14:paraId="5F92BD2B" w14:textId="0A0E5982" w:rsidR="00655B04" w:rsidRPr="00B8101B" w:rsidRDefault="00BB59AF" w:rsidP="00FA788B">
      <w:pPr>
        <w:pStyle w:val="ListParagraph"/>
        <w:numPr>
          <w:ilvl w:val="0"/>
          <w:numId w:val="2"/>
        </w:numPr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Phạm </w:t>
      </w:r>
      <w:r w:rsidR="00FA788B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Thị </w:t>
      </w:r>
      <w:r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Thanh Loan             </w:t>
      </w:r>
      <w:r w:rsidR="00FA788B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</w:t>
      </w:r>
      <w:r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- Thành viên</w:t>
      </w:r>
    </w:p>
    <w:p w14:paraId="478FA516" w14:textId="5CDABECB" w:rsidR="00BB59AF" w:rsidRPr="00B8101B" w:rsidRDefault="00BB59AF" w:rsidP="00655B04">
      <w:pPr>
        <w:pStyle w:val="ListParagraph"/>
        <w:numPr>
          <w:ilvl w:val="0"/>
          <w:numId w:val="2"/>
        </w:numPr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Đỗ Hương Ly                     </w:t>
      </w:r>
      <w:r w:rsidR="00FA788B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</w:t>
      </w:r>
      <w:r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- Thành viên</w:t>
      </w:r>
    </w:p>
    <w:p w14:paraId="1F10EC68" w14:textId="1C32F824" w:rsidR="00655B04" w:rsidRPr="00B8101B" w:rsidRDefault="005A341D" w:rsidP="002B11B0">
      <w:pPr>
        <w:spacing w:before="120"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B8101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2/</w:t>
      </w:r>
      <w:r w:rsidR="00BB59AF" w:rsidRPr="00B8101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Nội dung </w:t>
      </w:r>
      <w:r w:rsidRPr="00B8101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811549" w:rsidRPr="00B8101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thực hiện công tác kiểm soát</w:t>
      </w:r>
      <w:r w:rsidR="00BB59AF" w:rsidRPr="00B8101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:</w:t>
      </w:r>
    </w:p>
    <w:p w14:paraId="0803EB1A" w14:textId="421396D0" w:rsidR="0048450D" w:rsidRPr="00B8101B" w:rsidRDefault="00A63E85" w:rsidP="00B8101B">
      <w:pPr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B8101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Năm 2021</w:t>
      </w:r>
      <w:r w:rsidR="00CC7FA4" w:rsidRPr="00B8101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5776EF" w:rsidRPr="00B8101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nền kinh tế toàn cầu đã bị ảnh hưởng lớn bởi  sự bùng phát của dịch covid-19 </w:t>
      </w:r>
      <w:r w:rsidR="00CC7FA4" w:rsidRPr="00B8101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nên đã ảnh hưởng tiêu cực nền kinh tế Việt nam nói chung và Doanh nghiệp ta nói riêng. Đặc biệt đợt dịch </w:t>
      </w:r>
      <w:r w:rsidR="007F0E02" w:rsidRPr="00B8101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bệnh </w:t>
      </w:r>
      <w:r w:rsidR="00CC7FA4" w:rsidRPr="00B8101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kéo dài phải thực hiện giãn cách theo chỉ thị 15,16 của Chính phủ </w:t>
      </w:r>
      <w:r w:rsidR="005776EF" w:rsidRPr="00B8101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đã ảnh hưởng đến kết quả tăng trưởng nền kinh tế cả nước</w:t>
      </w:r>
      <w:r w:rsidRPr="00B8101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052953" w:rsidRPr="00B8101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trong đó Công ty cổ phần công trình Hàng không cũng bị ảnh hưở</w:t>
      </w:r>
      <w:r w:rsidR="0048450D" w:rsidRPr="00B8101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ng gặp khó khăn trong kinh doanh.</w:t>
      </w:r>
    </w:p>
    <w:p w14:paraId="5FD3B7F9" w14:textId="2383E296" w:rsidR="00F2061E" w:rsidRPr="00B8101B" w:rsidRDefault="006D02F2" w:rsidP="00B8101B">
      <w:pPr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B8101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Mặc dù đại dịch coivd </w:t>
      </w:r>
      <w:r w:rsidR="00472A9A" w:rsidRPr="00B8101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diễn ra nhưng</w:t>
      </w:r>
      <w:r w:rsidR="00DE5F1C" w:rsidRPr="00B8101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Hội đồng quản trị và Ban lãnh đạo công ty </w:t>
      </w:r>
      <w:r w:rsidR="00472A9A" w:rsidRPr="00B8101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đã </w:t>
      </w:r>
      <w:r w:rsidR="00DE5F1C" w:rsidRPr="00B8101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triển khai và thực hiện theo N</w:t>
      </w:r>
      <w:r w:rsidR="00F622F4" w:rsidRPr="00B8101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ghị quyết </w:t>
      </w:r>
      <w:r w:rsidR="00F2061E" w:rsidRPr="00B8101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đại hội cổ đông </w:t>
      </w:r>
      <w:r w:rsidR="00472A9A" w:rsidRPr="00B8101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đã đề ra.</w:t>
      </w:r>
    </w:p>
    <w:p w14:paraId="6974A183" w14:textId="77777777" w:rsidR="00D22B4A" w:rsidRPr="00B8101B" w:rsidRDefault="00F2061E" w:rsidP="00B8101B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B8101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lastRenderedPageBreak/>
        <w:t>Ban kiểm soát thực hiện chức năng, nhiệm vụ theo kế hoach đã thông qua đại hội cụ thể :</w:t>
      </w:r>
    </w:p>
    <w:p w14:paraId="0C384575" w14:textId="68B44D9F" w:rsidR="00D22B4A" w:rsidRPr="00B8101B" w:rsidRDefault="00D22B4A" w:rsidP="00B8101B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B8101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- Tham gia đầy đủ v</w:t>
      </w:r>
      <w:r w:rsidR="00256991" w:rsidRPr="00B8101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à </w:t>
      </w:r>
      <w:r w:rsidRPr="00B8101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đóng góp ý kiến trong các  cuộc họp của HĐQT công ty</w:t>
      </w:r>
      <w:r w:rsidR="00256991" w:rsidRPr="00B8101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báo cáo tình hình kết quả kinh doanh và phương hướng tổ chức hoạt động kinh doanh năm</w:t>
      </w:r>
      <w:r w:rsidR="00811549" w:rsidRPr="00B8101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2021.</w:t>
      </w:r>
      <w:r w:rsidR="00256991" w:rsidRPr="00B8101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</w:p>
    <w:p w14:paraId="59BDDEC1" w14:textId="1EB86266" w:rsidR="00D22B4A" w:rsidRPr="00B8101B" w:rsidRDefault="00D22B4A" w:rsidP="00B8101B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8101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- </w:t>
      </w:r>
      <w:r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6991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Thực hiện t</w:t>
      </w:r>
      <w:r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hẩm định</w:t>
      </w:r>
      <w:r w:rsidR="00256991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dự thảo</w:t>
      </w:r>
      <w:r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báo cáo tài chính và báo cáo kiểm toán năm 2021.</w:t>
      </w:r>
    </w:p>
    <w:p w14:paraId="7E246004" w14:textId="29F9F003" w:rsidR="00052953" w:rsidRPr="00B8101B" w:rsidRDefault="00F2061E" w:rsidP="00B8101B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B8101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256991" w:rsidRPr="00B8101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- Thực hiện công tác giám sát quản lý và điều hành doanh nghiệp cụ thể:</w:t>
      </w:r>
    </w:p>
    <w:p w14:paraId="69BE9257" w14:textId="4F055705" w:rsidR="00256991" w:rsidRPr="00B8101B" w:rsidRDefault="002C3FD0" w:rsidP="00B8101B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8101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      </w:t>
      </w:r>
      <w:r w:rsidR="00256991" w:rsidRPr="00B8101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+ T</w:t>
      </w:r>
      <w:r w:rsidR="00256991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hực hiện theo nghị quyết  đại hội cổ đông năm 202</w:t>
      </w:r>
      <w:r w:rsidR="00811549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="00256991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2317E26F" w14:textId="7FAB1D4E" w:rsidR="00256991" w:rsidRPr="00B8101B" w:rsidRDefault="002C3FD0" w:rsidP="00B8101B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256991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+ Việc thực hiện quản lý, quản trị của HĐQT và công tác điều hành kinh doanh của Tổng giám đốc.</w:t>
      </w:r>
    </w:p>
    <w:p w14:paraId="2A3C739C" w14:textId="68D46559" w:rsidR="00256991" w:rsidRPr="00B8101B" w:rsidRDefault="002C3FD0" w:rsidP="00B8101B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B8101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     </w:t>
      </w:r>
      <w:r w:rsidR="00256991" w:rsidRPr="00B8101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+ Việc chấp hành </w:t>
      </w:r>
      <w:r w:rsidR="00811549" w:rsidRPr="00B8101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chế độ,</w:t>
      </w:r>
      <w:r w:rsidR="00256991" w:rsidRPr="00B8101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chính sách trong hoạt động tài chính kế toán của Công ty.</w:t>
      </w:r>
    </w:p>
    <w:p w14:paraId="025E64F1" w14:textId="448643B9" w:rsidR="00BB59AF" w:rsidRPr="00B8101B" w:rsidRDefault="00BB59AF" w:rsidP="00B8101B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</w:t>
      </w:r>
      <w:r w:rsidR="002C3FD0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Lâp kế hoạch hoạt động gửi cho HĐQT và BGĐ để thực  hiện</w:t>
      </w:r>
    </w:p>
    <w:p w14:paraId="503BD37A" w14:textId="4A0CC45F" w:rsidR="00B341F4" w:rsidRPr="00B8101B" w:rsidRDefault="00E17922" w:rsidP="00B8101B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-Tư vấn cho phòng kế toán về </w:t>
      </w:r>
      <w:r w:rsidR="00811549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thực hiện hạch toán kế toán</w:t>
      </w:r>
      <w:r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theo Luật kế toán ban hành. </w:t>
      </w:r>
    </w:p>
    <w:p w14:paraId="370DC5CB" w14:textId="0EDBD153" w:rsidR="005A341D" w:rsidRPr="00B8101B" w:rsidRDefault="005A341D" w:rsidP="002B11B0">
      <w:pPr>
        <w:spacing w:before="120"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B8101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3/ Báo cáo kết quả </w:t>
      </w:r>
      <w:r w:rsidR="00C7195F" w:rsidRPr="00B8101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công tác kiểm soát trong năm 2021</w:t>
      </w:r>
      <w:r w:rsidR="00B341F4" w:rsidRPr="00B8101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:</w:t>
      </w:r>
    </w:p>
    <w:p w14:paraId="222CBD19" w14:textId="2024B3D3" w:rsidR="00B341F4" w:rsidRPr="00B8101B" w:rsidRDefault="00B341F4" w:rsidP="002B11B0">
      <w:pPr>
        <w:spacing w:before="120"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B8101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a, Kết quả giám sát tình hình hoat động của công ty:</w:t>
      </w:r>
    </w:p>
    <w:p w14:paraId="451D6762" w14:textId="27D60340" w:rsidR="00CB0C9B" w:rsidRPr="00B8101B" w:rsidRDefault="00F03497" w:rsidP="00F03497">
      <w:pPr>
        <w:spacing w:before="120"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Do đại dịch covid nên việc kinh doanh của công ty có gặp khó khăn, tuy nhiên theo chỉ đạo sát sao của HĐQT và Tổng giám đốc nên </w:t>
      </w:r>
      <w:r w:rsidR="00CB0C9B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Công ty đã hoàn thành các chỉ tiêu theo đúng N</w:t>
      </w:r>
      <w:r w:rsidR="008B39DE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</w:t>
      </w:r>
      <w:r w:rsidR="00CB0C9B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hị quyết của ĐHĐCĐ năm 2020.</w:t>
      </w:r>
    </w:p>
    <w:p w14:paraId="4498388D" w14:textId="77777777" w:rsidR="003F61A9" w:rsidRPr="00B8101B" w:rsidRDefault="003C6D2A" w:rsidP="008D5623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+ Kết quả kinh doanh: </w:t>
      </w:r>
    </w:p>
    <w:p w14:paraId="2D5E76E8" w14:textId="0FCF0404" w:rsidR="00CB0C9B" w:rsidRPr="00B8101B" w:rsidRDefault="0049342B" w:rsidP="003F61A9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3F61A9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Tổng doanh thu và thu nhập khác </w:t>
      </w:r>
      <w:r w:rsidR="00CB0C9B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156C7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F61A9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3.744.880.936 </w:t>
      </w:r>
      <w:r w:rsidR="00D156C7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F61A9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đồng</w:t>
      </w:r>
      <w:r w:rsidR="00D156C7" w:rsidRPr="00B810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F61A9" w:rsidRPr="00B810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đạt</w:t>
      </w:r>
      <w:r w:rsidR="003F61A9" w:rsidRPr="00B810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36.1</w:t>
      </w:r>
      <w:r w:rsidR="00D156C7" w:rsidRPr="00B810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B0C9B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% / kế hoạch</w:t>
      </w:r>
    </w:p>
    <w:p w14:paraId="72D865E8" w14:textId="66FE4C01" w:rsidR="00CB0C9B" w:rsidRPr="00B8101B" w:rsidRDefault="003C6D2A" w:rsidP="008D5623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F03497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Lợi nhuận trước thuế </w:t>
      </w:r>
      <w:r w:rsidR="00D156C7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3F61A9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49342B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</w:t>
      </w:r>
      <w:r w:rsidR="003F61A9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959.394.088   đồng</w:t>
      </w:r>
      <w:r w:rsidR="00CB0C9B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F61A9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đạt</w:t>
      </w:r>
      <w:r w:rsidR="00CB0C9B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D156C7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F61A9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158.7</w:t>
      </w:r>
      <w:r w:rsidR="004977EA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%/ </w:t>
      </w:r>
      <w:r w:rsidR="00CB0C9B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kế hoạch</w:t>
      </w:r>
    </w:p>
    <w:p w14:paraId="2B24FABA" w14:textId="7A2A9534" w:rsidR="003C6D2A" w:rsidRPr="00B8101B" w:rsidRDefault="003C6D2A" w:rsidP="008D5623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+ </w:t>
      </w:r>
      <w:r w:rsidR="00427409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Về công nợ: </w:t>
      </w:r>
      <w:r w:rsidR="0064196C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27409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Đã thực hiện </w:t>
      </w:r>
      <w:r w:rsidR="0064196C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đôn đốc công nợ</w:t>
      </w:r>
      <w:r w:rsidR="00427409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một số đối tượng, còn nhiều trường hợp chưa thực hiện d</w:t>
      </w:r>
      <w:r w:rsidR="00F03497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o công nợ đã quá lâu.</w:t>
      </w:r>
    </w:p>
    <w:p w14:paraId="344ABF75" w14:textId="71FB7452" w:rsidR="003C6D2A" w:rsidRPr="00B8101B" w:rsidRDefault="003C6D2A" w:rsidP="008D5623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+ </w:t>
      </w:r>
      <w:r w:rsidR="00F03497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Chưa thực hiện duyệt lựa </w:t>
      </w:r>
      <w:r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chọn phương án cở sở và nhà thầu tư vân lập báo cáo nghiên cứu </w:t>
      </w:r>
      <w:r w:rsidR="00F03497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tiền </w:t>
      </w:r>
      <w:r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khả thi và thiết kế bản vẽ thi công cho dự án </w:t>
      </w:r>
      <w:r w:rsidR="00270E4C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Tòa Nhà trụ sở văn phòng AVICON, </w:t>
      </w:r>
    </w:p>
    <w:p w14:paraId="1034AF75" w14:textId="1FDD6A85" w:rsidR="00B341F4" w:rsidRPr="00B8101B" w:rsidRDefault="00526B63" w:rsidP="008D5623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B8101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b, </w:t>
      </w:r>
      <w:r w:rsidR="008B5D3E" w:rsidRPr="00B8101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Tình hình triển khai thực hiện Nghị quyết Đại hội </w:t>
      </w:r>
      <w:r w:rsidR="007167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đồng </w:t>
      </w:r>
      <w:r w:rsidR="008B5D3E" w:rsidRPr="00B8101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cổ đông của</w:t>
      </w:r>
      <w:r w:rsidR="008D7A3E" w:rsidRPr="00B8101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hội </w:t>
      </w:r>
      <w:r w:rsidR="007B6093" w:rsidRPr="00B8101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đồng</w:t>
      </w:r>
      <w:r w:rsidR="008D7A3E" w:rsidRPr="00B8101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quan trị(</w:t>
      </w:r>
      <w:r w:rsidR="008B5D3E" w:rsidRPr="00B8101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B8101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HĐQT</w:t>
      </w:r>
      <w:r w:rsidR="008D7A3E" w:rsidRPr="00B8101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)</w:t>
      </w:r>
      <w:r w:rsidRPr="00B8101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: </w:t>
      </w:r>
    </w:p>
    <w:p w14:paraId="1EE7A058" w14:textId="77777777" w:rsidR="009A1982" w:rsidRPr="00B8101B" w:rsidRDefault="008B39DE" w:rsidP="008D5623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</w:t>
      </w:r>
      <w:r w:rsidR="008D7A3E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HĐQT t</w:t>
      </w:r>
      <w:r w:rsidR="00526B63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ổ chức các </w:t>
      </w:r>
      <w:r w:rsidR="008D7A3E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phiên </w:t>
      </w:r>
      <w:r w:rsidR="00526B63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họp định kỳ thành phần tham dự đầy đủ; điều hành các cuộc họp tập trung </w:t>
      </w:r>
      <w:r w:rsidR="009A1982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và các buổi qua mạng chủ yếu các </w:t>
      </w:r>
      <w:r w:rsidR="00526B63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nội dung: </w:t>
      </w:r>
    </w:p>
    <w:p w14:paraId="4711604D" w14:textId="7CA1529A" w:rsidR="009A1982" w:rsidRPr="00B8101B" w:rsidRDefault="009A1982" w:rsidP="009A1982">
      <w:pPr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+</w:t>
      </w:r>
      <w:r w:rsidR="00725E69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Tình hình</w:t>
      </w:r>
      <w:r w:rsidR="00526B63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thực hiện kinh doanh</w:t>
      </w:r>
      <w:r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.</w:t>
      </w:r>
    </w:p>
    <w:p w14:paraId="6258EBB2" w14:textId="77777777" w:rsidR="009A1982" w:rsidRPr="00B8101B" w:rsidRDefault="009A1982" w:rsidP="009A1982">
      <w:pPr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+L</w:t>
      </w:r>
      <w:r w:rsidR="008D7A3E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ập </w:t>
      </w:r>
      <w:r w:rsidR="008B39DE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phương án xử lý nợ quá hạn không có </w:t>
      </w:r>
      <w:r w:rsidR="007B6093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khả </w:t>
      </w:r>
      <w:r w:rsidR="008B39DE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năng thu hồi</w:t>
      </w:r>
      <w:r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đốc đốc thu hồi nợ theo đúng quy định của pháp luật</w:t>
      </w:r>
      <w:r w:rsidR="008B39DE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</w:p>
    <w:p w14:paraId="588FA016" w14:textId="4C7DDFDA" w:rsidR="008B39DE" w:rsidRPr="00B8101B" w:rsidRDefault="009A1982" w:rsidP="009A1982">
      <w:pPr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+L</w:t>
      </w:r>
      <w:r w:rsidR="00526B63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ựa chọn các nhà thầu </w:t>
      </w:r>
      <w:r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</w:t>
      </w:r>
      <w:r w:rsidR="00526B63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ư vấn lập báo cáo nghiên cứu khả thi và thết kế bản vẽ thi công dự án Tòa Nhà trụ s</w:t>
      </w:r>
      <w:r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ở</w:t>
      </w:r>
      <w:r w:rsidR="00526B63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văn phòng AVICON.</w:t>
      </w:r>
    </w:p>
    <w:p w14:paraId="1B545802" w14:textId="2328185C" w:rsidR="00343A70" w:rsidRPr="00B8101B" w:rsidRDefault="00343A70" w:rsidP="008D5623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C</w:t>
      </w:r>
      <w:r w:rsidR="007B6093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ác nghị quyết của HĐQT bám sát tình hình thực tế của công ty và thị trường diễn ra trong năm qua</w:t>
      </w:r>
      <w:r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</w:p>
    <w:p w14:paraId="2D0C533F" w14:textId="319EC687" w:rsidR="007B6093" w:rsidRPr="00B8101B" w:rsidRDefault="00343A70" w:rsidP="008D5623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Thường xuyên chỉ đạo Tổng giám đốc thực hiện công tác quản lý điều hành doanh nghiệp  tiếp tục thực hiện đôn đốc thu hồi nợ quá hạn </w:t>
      </w:r>
      <w:r w:rsidR="009A1982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để giảm rủi ro cho doanh nghiệp.</w:t>
      </w:r>
    </w:p>
    <w:p w14:paraId="525CF0FE" w14:textId="1B7DD4FF" w:rsidR="00373CA8" w:rsidRPr="00B8101B" w:rsidRDefault="008B39DE" w:rsidP="008D5623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bookmarkStart w:id="1" w:name="_Hlk105659713"/>
      <w:r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Tổ chức thành công các cuộc họp ĐHĐCĐ thường niên </w:t>
      </w:r>
      <w:r w:rsidR="00913589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năm 2020</w:t>
      </w:r>
      <w:r w:rsidR="00EA0047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373CA8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</w:p>
    <w:bookmarkEnd w:id="1"/>
    <w:p w14:paraId="068A38A9" w14:textId="72F44D2C" w:rsidR="008B39DE" w:rsidRPr="00B8101B" w:rsidRDefault="00611537" w:rsidP="008D5623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8B39DE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bookmarkStart w:id="2" w:name="_Hlk105659836"/>
      <w:r w:rsidR="00DA6987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Hôi đồng quản trị h</w:t>
      </w:r>
      <w:r w:rsidR="008B39DE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oạt động tuân thủ </w:t>
      </w:r>
      <w:r w:rsidR="00DA6987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theo </w:t>
      </w:r>
      <w:r w:rsidR="008B39DE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</w:t>
      </w:r>
      <w:r w:rsidR="00D12F76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</w:t>
      </w:r>
      <w:r w:rsidR="00290B1B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hị Quyết, Điều lệ </w:t>
      </w:r>
      <w:r w:rsidR="00DA6987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quy chế </w:t>
      </w:r>
      <w:r w:rsidR="008B39DE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luôn đảm bảo lợi ích của công ty.</w:t>
      </w:r>
      <w:r w:rsidR="00DA6987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Qua 1 năm hoạt động , HĐQT đã hoàn thành vai trò trách nhiệm được đại hội cổ đông giao phó.</w:t>
      </w:r>
      <w:r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</w:t>
      </w:r>
    </w:p>
    <w:p w14:paraId="6267F0DB" w14:textId="2C2EE0E0" w:rsidR="000A09F5" w:rsidRPr="00B8101B" w:rsidRDefault="000A09F5" w:rsidP="008D5623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48691F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Hội đồng quản trị  </w:t>
      </w:r>
      <w:r w:rsidR="00B466F9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đã phối kết hợp với</w:t>
      </w:r>
      <w:r w:rsidR="0048691F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Ban kiểm </w:t>
      </w:r>
      <w:r w:rsidR="001C2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soát </w:t>
      </w:r>
      <w:r w:rsidR="00B466F9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để  hoàn thành nhiệm vụ  năm 2021.</w:t>
      </w:r>
    </w:p>
    <w:p w14:paraId="1383F0E4" w14:textId="20B14DD7" w:rsidR="008B39DE" w:rsidRPr="00B8101B" w:rsidRDefault="008B39DE" w:rsidP="008D5623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bookmarkStart w:id="3" w:name="_Hlk105659909"/>
      <w:bookmarkEnd w:id="2"/>
      <w:r w:rsidRPr="00B8101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c/ Hoạt động của </w:t>
      </w:r>
      <w:r w:rsidR="0054719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Ban</w:t>
      </w:r>
      <w:r w:rsidR="004C3C87" w:rsidRPr="00B8101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giám đốc</w:t>
      </w:r>
      <w:r w:rsidR="000D68A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(BGĐ)</w:t>
      </w:r>
      <w:r w:rsidRPr="00B8101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:</w:t>
      </w:r>
    </w:p>
    <w:p w14:paraId="543A2131" w14:textId="1204EF95" w:rsidR="000A09F5" w:rsidRPr="00B8101B" w:rsidRDefault="000A09F5" w:rsidP="008D5623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4" w:name="_Hlk105659939"/>
      <w:bookmarkEnd w:id="3"/>
      <w:r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Ban giám đốc đã t</w:t>
      </w:r>
      <w:r w:rsidR="008B39DE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riển khai </w:t>
      </w:r>
      <w:r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đầy đủ , kịp thời </w:t>
      </w:r>
      <w:r w:rsidR="008B39DE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theo </w:t>
      </w:r>
      <w:r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các</w:t>
      </w:r>
      <w:r w:rsidR="008B39DE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Nghị quyết </w:t>
      </w:r>
      <w:r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quyết định và các văn bản chỉ đạo của Hội đồng quản trị.</w:t>
      </w:r>
    </w:p>
    <w:bookmarkEnd w:id="4"/>
    <w:p w14:paraId="0019AB89" w14:textId="3DC8FFDD" w:rsidR="008F1B6E" w:rsidRPr="00B8101B" w:rsidRDefault="00D371FD" w:rsidP="008D5623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Điều hành các cuộc họp nghiêm túc</w:t>
      </w:r>
      <w:r w:rsidR="008F1B6E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nắng nghe và ý kiến đ</w:t>
      </w:r>
      <w:r w:rsidR="004976E8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ề</w:t>
      </w:r>
      <w:r w:rsidR="008F1B6E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xuất các vấn đề còn tồn tại </w:t>
      </w:r>
      <w:r w:rsidR="004976E8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chưa giải quyết</w:t>
      </w:r>
      <w:r w:rsidR="008F1B6E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đưa ra giải pháp khắc phục tuân thủ quy định của pháp luật.</w:t>
      </w:r>
    </w:p>
    <w:p w14:paraId="3D3A8A05" w14:textId="3CFB0177" w:rsidR="007F0133" w:rsidRPr="00B8101B" w:rsidRDefault="008F1B6E" w:rsidP="008D5623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Do </w:t>
      </w:r>
      <w:r w:rsidR="00A569AC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ảnh hưởng của đại dịch </w:t>
      </w:r>
      <w:r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covid  </w:t>
      </w:r>
      <w:r w:rsidR="00A569AC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có khó khăn chung nền kinh tế do vậy </w:t>
      </w:r>
      <w:r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viêc thực hiện dự án triển khai chậm lại so với kế hoạch đề ra.  </w:t>
      </w:r>
    </w:p>
    <w:p w14:paraId="79E729C9" w14:textId="729E249B" w:rsidR="007F0133" w:rsidRPr="00B8101B" w:rsidRDefault="007F0133" w:rsidP="00E96FEE">
      <w:pPr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8101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d, Kết quả giám sát Nghị quyết của ĐHĐCĐ  thường niên năm 202</w:t>
      </w:r>
      <w:r w:rsidR="00A569AC" w:rsidRPr="00B8101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</w:t>
      </w:r>
      <w:r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</w:t>
      </w:r>
    </w:p>
    <w:p w14:paraId="6048C90F" w14:textId="246A3779" w:rsidR="00611537" w:rsidRPr="00B8101B" w:rsidRDefault="007F0133" w:rsidP="008D5623">
      <w:pPr>
        <w:pStyle w:val="ListParagraph"/>
        <w:numPr>
          <w:ilvl w:val="0"/>
          <w:numId w:val="6"/>
        </w:numPr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Hoàn thành chỉ tiêu kinh doanh theo Nghị Quyết</w:t>
      </w:r>
      <w:r w:rsidR="00502593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ĐH</w:t>
      </w:r>
      <w:r w:rsidR="000D68A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</w:t>
      </w:r>
      <w:r w:rsidR="00502593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CD</w:t>
      </w:r>
      <w:r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4314D2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Đơn vị tính: đồng</w:t>
      </w:r>
    </w:p>
    <w:tbl>
      <w:tblPr>
        <w:tblW w:w="10260" w:type="dxa"/>
        <w:tblInd w:w="-4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6"/>
        <w:gridCol w:w="4322"/>
        <w:gridCol w:w="2272"/>
        <w:gridCol w:w="2030"/>
        <w:gridCol w:w="1120"/>
      </w:tblGrid>
      <w:tr w:rsidR="00763798" w:rsidRPr="00B8101B" w14:paraId="4D48E77D" w14:textId="77777777" w:rsidTr="004314D2">
        <w:trPr>
          <w:trHeight w:val="478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D066B1E" w14:textId="77777777" w:rsidR="00763798" w:rsidRPr="00B8101B" w:rsidRDefault="00763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8101B">
              <w:rPr>
                <w:rFonts w:ascii="Calibri" w:hAnsi="Calibri" w:cs="Calibri"/>
                <w:color w:val="000000"/>
                <w:sz w:val="26"/>
                <w:szCs w:val="26"/>
              </w:rPr>
              <w:t>TT</w:t>
            </w: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A48363D" w14:textId="77777777" w:rsidR="00763798" w:rsidRPr="00B8101B" w:rsidRDefault="00763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8101B">
              <w:rPr>
                <w:rFonts w:ascii="Calibri" w:hAnsi="Calibri" w:cs="Calibri"/>
                <w:color w:val="000000"/>
                <w:sz w:val="26"/>
                <w:szCs w:val="26"/>
              </w:rPr>
              <w:t>Các chỉ tiêu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F55A1EA" w14:textId="77777777" w:rsidR="00763798" w:rsidRPr="00B8101B" w:rsidRDefault="00763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8101B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Năm 2020 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3319375" w14:textId="77777777" w:rsidR="00763798" w:rsidRPr="00B8101B" w:rsidRDefault="00763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8101B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Năm 2021 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FF2B64F" w14:textId="77777777" w:rsidR="00763798" w:rsidRPr="00B8101B" w:rsidRDefault="00763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8101B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Tỷ lệ </w:t>
            </w:r>
          </w:p>
        </w:tc>
      </w:tr>
      <w:tr w:rsidR="00763798" w:rsidRPr="00B8101B" w14:paraId="5B36BD03" w14:textId="77777777" w:rsidTr="004314D2">
        <w:trPr>
          <w:trHeight w:val="478"/>
        </w:trPr>
        <w:tc>
          <w:tcPr>
            <w:tcW w:w="51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0E58ABE" w14:textId="77777777" w:rsidR="00763798" w:rsidRPr="00B8101B" w:rsidRDefault="00763798" w:rsidP="00604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6"/>
                <w:szCs w:val="26"/>
                <w:highlight w:val="yellow"/>
              </w:rPr>
            </w:pPr>
            <w:r w:rsidRPr="00B8101B">
              <w:rPr>
                <w:rFonts w:ascii="Calibri" w:hAnsi="Calibri" w:cs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10856D2" w14:textId="77777777" w:rsidR="00763798" w:rsidRPr="00B8101B" w:rsidRDefault="00763798" w:rsidP="00431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8101B">
              <w:rPr>
                <w:rFonts w:ascii="Calibri" w:hAnsi="Calibri" w:cs="Calibri"/>
                <w:color w:val="000000"/>
                <w:sz w:val="26"/>
                <w:szCs w:val="26"/>
              </w:rPr>
              <w:t>Tổng vốn chủ sở hữu</w:t>
            </w:r>
          </w:p>
        </w:tc>
        <w:tc>
          <w:tcPr>
            <w:tcW w:w="227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7F767D2" w14:textId="77777777" w:rsidR="00763798" w:rsidRPr="00B8101B" w:rsidRDefault="007637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8101B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        37,166,926,404 </w:t>
            </w:r>
          </w:p>
        </w:tc>
        <w:tc>
          <w:tcPr>
            <w:tcW w:w="20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956A4BD" w14:textId="77777777" w:rsidR="00763798" w:rsidRPr="00B8101B" w:rsidRDefault="007637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8101B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        37,562,561,599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BFAAFC9" w14:textId="77777777" w:rsidR="00763798" w:rsidRPr="00B8101B" w:rsidRDefault="007637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8101B">
              <w:rPr>
                <w:rFonts w:ascii="Calibri" w:hAnsi="Calibri" w:cs="Calibri"/>
                <w:color w:val="000000"/>
                <w:sz w:val="26"/>
                <w:szCs w:val="26"/>
              </w:rPr>
              <w:t>101%</w:t>
            </w:r>
          </w:p>
        </w:tc>
      </w:tr>
      <w:tr w:rsidR="00763798" w:rsidRPr="00B8101B" w14:paraId="7AEE82D9" w14:textId="77777777" w:rsidTr="004314D2">
        <w:trPr>
          <w:trHeight w:val="478"/>
        </w:trPr>
        <w:tc>
          <w:tcPr>
            <w:tcW w:w="51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DFDF3D4" w14:textId="3F22A015" w:rsidR="00763798" w:rsidRPr="00B8101B" w:rsidRDefault="00A97F45" w:rsidP="00604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6"/>
                <w:szCs w:val="26"/>
                <w:highlight w:val="yellow"/>
              </w:rPr>
            </w:pPr>
            <w:r w:rsidRPr="00B8101B">
              <w:rPr>
                <w:rFonts w:ascii="Calibri" w:hAnsi="Calibri" w:cs="Calibri"/>
                <w:color w:val="000000"/>
                <w:sz w:val="26"/>
                <w:szCs w:val="26"/>
              </w:rPr>
              <w:t>2</w:t>
            </w:r>
          </w:p>
        </w:tc>
        <w:tc>
          <w:tcPr>
            <w:tcW w:w="432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28000C0" w14:textId="77777777" w:rsidR="00763798" w:rsidRPr="00B8101B" w:rsidRDefault="00763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8101B">
              <w:rPr>
                <w:rFonts w:ascii="Calibri" w:hAnsi="Calibri" w:cs="Calibri"/>
                <w:color w:val="000000"/>
                <w:sz w:val="26"/>
                <w:szCs w:val="26"/>
              </w:rPr>
              <w:t>Vốn góp của chủ sở hữu</w:t>
            </w:r>
          </w:p>
        </w:tc>
        <w:tc>
          <w:tcPr>
            <w:tcW w:w="227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3A9C5CE" w14:textId="77777777" w:rsidR="00763798" w:rsidRPr="00B8101B" w:rsidRDefault="007637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8101B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        26,527,685,865 </w:t>
            </w:r>
          </w:p>
        </w:tc>
        <w:tc>
          <w:tcPr>
            <w:tcW w:w="20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31633A6" w14:textId="77777777" w:rsidR="00763798" w:rsidRPr="00B8101B" w:rsidRDefault="007637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8101B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        26,527,685,865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5C8298A" w14:textId="77777777" w:rsidR="00763798" w:rsidRPr="00B8101B" w:rsidRDefault="007637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8101B">
              <w:rPr>
                <w:rFonts w:ascii="Calibri" w:hAnsi="Calibri" w:cs="Calibri"/>
                <w:color w:val="000000"/>
                <w:sz w:val="26"/>
                <w:szCs w:val="26"/>
              </w:rPr>
              <w:t>100%</w:t>
            </w:r>
          </w:p>
        </w:tc>
      </w:tr>
      <w:tr w:rsidR="00763798" w:rsidRPr="00B8101B" w14:paraId="5FEFD866" w14:textId="77777777" w:rsidTr="004314D2">
        <w:trPr>
          <w:trHeight w:val="478"/>
        </w:trPr>
        <w:tc>
          <w:tcPr>
            <w:tcW w:w="51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B1EB85E" w14:textId="2E64228B" w:rsidR="00763798" w:rsidRPr="00B8101B" w:rsidRDefault="00A97F45" w:rsidP="00604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6"/>
                <w:szCs w:val="26"/>
                <w:highlight w:val="yellow"/>
              </w:rPr>
            </w:pPr>
            <w:r w:rsidRPr="00B8101B">
              <w:rPr>
                <w:rFonts w:ascii="Calibri" w:hAnsi="Calibri" w:cs="Calibri"/>
                <w:color w:val="000000"/>
                <w:sz w:val="26"/>
                <w:szCs w:val="26"/>
              </w:rPr>
              <w:t>3</w:t>
            </w:r>
          </w:p>
        </w:tc>
        <w:tc>
          <w:tcPr>
            <w:tcW w:w="432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493B99A" w14:textId="77777777" w:rsidR="00763798" w:rsidRPr="00B8101B" w:rsidRDefault="00763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8101B">
              <w:rPr>
                <w:rFonts w:ascii="Calibri" w:hAnsi="Calibri" w:cs="Calibri"/>
                <w:color w:val="000000"/>
                <w:sz w:val="26"/>
                <w:szCs w:val="26"/>
              </w:rPr>
              <w:t>Quỹ đầu tư phát triển</w:t>
            </w:r>
          </w:p>
        </w:tc>
        <w:tc>
          <w:tcPr>
            <w:tcW w:w="227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2441F6A" w14:textId="77777777" w:rsidR="00763798" w:rsidRPr="00B8101B" w:rsidRDefault="007637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8101B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           2,633,641,577 </w:t>
            </w:r>
          </w:p>
        </w:tc>
        <w:tc>
          <w:tcPr>
            <w:tcW w:w="20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A75F083" w14:textId="77777777" w:rsidR="00763798" w:rsidRPr="00B8101B" w:rsidRDefault="007637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8101B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           2,633,641,577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998A49D" w14:textId="77777777" w:rsidR="00763798" w:rsidRPr="00B8101B" w:rsidRDefault="007637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8101B">
              <w:rPr>
                <w:rFonts w:ascii="Calibri" w:hAnsi="Calibri" w:cs="Calibri"/>
                <w:color w:val="000000"/>
                <w:sz w:val="26"/>
                <w:szCs w:val="26"/>
              </w:rPr>
              <w:t>100%</w:t>
            </w:r>
          </w:p>
        </w:tc>
      </w:tr>
      <w:tr w:rsidR="00763798" w:rsidRPr="00B8101B" w14:paraId="06CAB76E" w14:textId="77777777" w:rsidTr="004314D2">
        <w:trPr>
          <w:trHeight w:val="478"/>
        </w:trPr>
        <w:tc>
          <w:tcPr>
            <w:tcW w:w="51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DB832" w14:textId="528DEAF6" w:rsidR="00763798" w:rsidRPr="00B8101B" w:rsidRDefault="00A97F45" w:rsidP="00604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6"/>
                <w:szCs w:val="26"/>
                <w:highlight w:val="yellow"/>
              </w:rPr>
            </w:pPr>
            <w:r w:rsidRPr="00B8101B">
              <w:rPr>
                <w:rFonts w:ascii="Calibri" w:hAnsi="Calibri" w:cs="Calibri"/>
                <w:color w:val="000000"/>
                <w:sz w:val="26"/>
                <w:szCs w:val="26"/>
              </w:rPr>
              <w:t>4</w:t>
            </w:r>
          </w:p>
        </w:tc>
        <w:tc>
          <w:tcPr>
            <w:tcW w:w="432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0024C" w14:textId="77777777" w:rsidR="00763798" w:rsidRPr="00B8101B" w:rsidRDefault="00763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8101B">
              <w:rPr>
                <w:rFonts w:ascii="Calibri" w:hAnsi="Calibri" w:cs="Calibri"/>
                <w:color w:val="000000"/>
                <w:sz w:val="26"/>
                <w:szCs w:val="26"/>
              </w:rPr>
              <w:t>Lơi nhuận sau thuế chưa phân phối</w:t>
            </w:r>
          </w:p>
        </w:tc>
        <w:tc>
          <w:tcPr>
            <w:tcW w:w="227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4F6ED" w14:textId="77777777" w:rsidR="00763798" w:rsidRPr="00B8101B" w:rsidRDefault="007637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8101B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           8,005,598,962 </w:t>
            </w:r>
          </w:p>
        </w:tc>
        <w:tc>
          <w:tcPr>
            <w:tcW w:w="203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1A95B" w14:textId="77777777" w:rsidR="00763798" w:rsidRPr="00B8101B" w:rsidRDefault="007637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8101B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           8,401,234,157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AD7EF" w14:textId="77777777" w:rsidR="00763798" w:rsidRPr="00B8101B" w:rsidRDefault="007637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8101B">
              <w:rPr>
                <w:rFonts w:ascii="Calibri" w:hAnsi="Calibri" w:cs="Calibri"/>
                <w:color w:val="000000"/>
                <w:sz w:val="26"/>
                <w:szCs w:val="26"/>
              </w:rPr>
              <w:t>105%</w:t>
            </w:r>
          </w:p>
        </w:tc>
      </w:tr>
    </w:tbl>
    <w:p w14:paraId="0A315588" w14:textId="77777777" w:rsidR="008D5623" w:rsidRPr="00B8101B" w:rsidRDefault="008D5623" w:rsidP="00E96FEE">
      <w:pPr>
        <w:spacing w:after="0" w:line="312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14:paraId="5D66EDEA" w14:textId="54EF82F6" w:rsidR="007F0133" w:rsidRPr="00B8101B" w:rsidRDefault="00DB042D" w:rsidP="00E96FEE">
      <w:pPr>
        <w:spacing w:after="0" w:line="312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B8101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e, Kết quả thẩm định báo cáo tài chính và kết quả kinh doanh 202</w:t>
      </w:r>
      <w:r w:rsidR="004657E3" w:rsidRPr="00B8101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</w:t>
      </w:r>
      <w:r w:rsidRPr="00B8101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</w:t>
      </w:r>
    </w:p>
    <w:p w14:paraId="17305583" w14:textId="0D1FE13C" w:rsidR="00DB042D" w:rsidRPr="00B8101B" w:rsidRDefault="00DB042D" w:rsidP="00433F1B">
      <w:pPr>
        <w:pStyle w:val="ListParagraph"/>
        <w:numPr>
          <w:ilvl w:val="0"/>
          <w:numId w:val="6"/>
        </w:numPr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Về việc thực hiện chế độ kế toán và báo cáo tài chính</w:t>
      </w:r>
    </w:p>
    <w:p w14:paraId="6ECD11DF" w14:textId="5332AE35" w:rsidR="00DB042D" w:rsidRPr="00B8101B" w:rsidRDefault="00DB042D" w:rsidP="00DB042D">
      <w:pPr>
        <w:pStyle w:val="ListParagraph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Báo cáo tài chính năm 202</w:t>
      </w:r>
      <w:r w:rsidR="00411ADC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được lập theo chuẩn mực kế toán Việt Nam.</w:t>
      </w:r>
    </w:p>
    <w:p w14:paraId="21EC52BE" w14:textId="1809B3F5" w:rsidR="00DB042D" w:rsidRPr="00B8101B" w:rsidRDefault="00DB042D" w:rsidP="00433F1B">
      <w:pPr>
        <w:spacing w:after="0" w:line="312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5" w:name="_Hlk105660179"/>
      <w:r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Báo cáo được kiểm toán bởi Công ty </w:t>
      </w:r>
      <w:r w:rsidR="006F11B1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TNHH kiểm</w:t>
      </w:r>
      <w:r w:rsidR="004D3A35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toán AASC</w:t>
      </w:r>
      <w:bookmarkEnd w:id="5"/>
      <w:r w:rsidR="004D3A35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là đơn vị nằm trong danh sách được thông qua cuộc họp Đại hội </w:t>
      </w:r>
      <w:r w:rsidR="000D68A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đồng </w:t>
      </w:r>
      <w:r w:rsidR="004D3A35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cổ đông năm 2021 ,</w:t>
      </w:r>
      <w:r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báo cáo được chấp </w:t>
      </w:r>
      <w:r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nhận toàn phần và có ý kiến phản ánh trung thực và hợp lý theo quy định của pháp luật hiện hành.</w:t>
      </w:r>
    </w:p>
    <w:p w14:paraId="2435F001" w14:textId="3BCCE77D" w:rsidR="00433F1B" w:rsidRPr="00B8101B" w:rsidRDefault="00433F1B" w:rsidP="00433F1B">
      <w:pPr>
        <w:pStyle w:val="ListParagraph"/>
        <w:numPr>
          <w:ilvl w:val="0"/>
          <w:numId w:val="6"/>
        </w:numPr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Kết thực hiện theo Nghị quyết của ĐHĐCĐ</w:t>
      </w:r>
    </w:p>
    <w:p w14:paraId="0E2439AF" w14:textId="727B168F" w:rsidR="00433F1B" w:rsidRPr="00B8101B" w:rsidRDefault="00433F1B" w:rsidP="00433F1B">
      <w:pPr>
        <w:pStyle w:val="ListParagraph"/>
        <w:numPr>
          <w:ilvl w:val="0"/>
          <w:numId w:val="6"/>
        </w:numPr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Kết quả hinh doanh tại thời điểm 31/12/202</w:t>
      </w:r>
      <w:r w:rsidR="00A5293A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:      </w:t>
      </w:r>
      <w:r w:rsidR="008470BC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</w:t>
      </w:r>
      <w:r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4314D2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</w:t>
      </w:r>
      <w:r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ơn vị tính: đồng</w:t>
      </w:r>
    </w:p>
    <w:p w14:paraId="0133D3B7" w14:textId="77777777" w:rsidR="00913589" w:rsidRPr="00B8101B" w:rsidRDefault="00913589" w:rsidP="000A09F5">
      <w:pPr>
        <w:spacing w:after="0" w:line="312" w:lineRule="auto"/>
        <w:ind w:left="36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560"/>
        <w:gridCol w:w="3360"/>
        <w:gridCol w:w="2080"/>
        <w:gridCol w:w="2002"/>
        <w:gridCol w:w="1698"/>
      </w:tblGrid>
      <w:tr w:rsidR="008470BC" w:rsidRPr="00B8101B" w14:paraId="6BBDCAA0" w14:textId="77777777" w:rsidTr="00A5293A">
        <w:trPr>
          <w:trHeight w:val="4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426C" w14:textId="77777777" w:rsidR="008470BC" w:rsidRPr="00B8101B" w:rsidRDefault="008470BC" w:rsidP="0084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6" w:name="_Hlk105660218"/>
            <w:r w:rsidRPr="00B810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TT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E865" w14:textId="77777777" w:rsidR="008470BC" w:rsidRPr="00B8101B" w:rsidRDefault="008470BC" w:rsidP="0084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10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CHỈ TIÊU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6F9D" w14:textId="403B30DA" w:rsidR="008470BC" w:rsidRPr="00B8101B" w:rsidRDefault="008470BC" w:rsidP="0020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10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NĂM 202</w:t>
            </w:r>
            <w:r w:rsidR="00203ED4" w:rsidRPr="00B810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B810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BCDE" w14:textId="3B84156F" w:rsidR="008470BC" w:rsidRPr="00B8101B" w:rsidRDefault="008470BC" w:rsidP="0020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10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NĂM 20</w:t>
            </w:r>
            <w:r w:rsidR="00203ED4" w:rsidRPr="00B810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5A87" w14:textId="77777777" w:rsidR="008470BC" w:rsidRPr="00B8101B" w:rsidRDefault="008470BC" w:rsidP="0084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10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TỶ LỆ %</w:t>
            </w:r>
          </w:p>
        </w:tc>
      </w:tr>
      <w:tr w:rsidR="00203ED4" w:rsidRPr="00B8101B" w14:paraId="33A2EBB6" w14:textId="77777777" w:rsidTr="00F24A76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D979" w14:textId="5F2F6191" w:rsidR="00203ED4" w:rsidRPr="00B8101B" w:rsidRDefault="00203ED4" w:rsidP="00203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101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0AD5A" w14:textId="2E086BAC" w:rsidR="00203ED4" w:rsidRPr="00B8101B" w:rsidRDefault="00203ED4" w:rsidP="00203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101B">
              <w:rPr>
                <w:color w:val="000000"/>
                <w:sz w:val="26"/>
                <w:szCs w:val="26"/>
              </w:rPr>
              <w:t>Doanh thu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50F3" w14:textId="5FC23B45" w:rsidR="00203ED4" w:rsidRPr="00B8101B" w:rsidRDefault="00203ED4" w:rsidP="00203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101B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      2,527,705,070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72C3" w14:textId="7F04AADA" w:rsidR="00203ED4" w:rsidRPr="00B8101B" w:rsidRDefault="00203ED4" w:rsidP="00203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101B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    5,843,137,100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7FAD" w14:textId="45DBC162" w:rsidR="00203ED4" w:rsidRPr="00B8101B" w:rsidRDefault="00203ED4" w:rsidP="00E01CB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8101B">
              <w:rPr>
                <w:rFonts w:ascii="Calibri" w:hAnsi="Calibri" w:cs="Calibri"/>
                <w:color w:val="000000"/>
                <w:sz w:val="26"/>
                <w:szCs w:val="26"/>
              </w:rPr>
              <w:t>43%</w:t>
            </w:r>
          </w:p>
        </w:tc>
      </w:tr>
      <w:tr w:rsidR="00203ED4" w:rsidRPr="00B8101B" w14:paraId="383B1E9B" w14:textId="77777777" w:rsidTr="00F24A76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9731F" w14:textId="20708F3E" w:rsidR="00203ED4" w:rsidRPr="00B8101B" w:rsidRDefault="00203ED4" w:rsidP="00203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101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2231D" w14:textId="7B1882FE" w:rsidR="00203ED4" w:rsidRPr="00B8101B" w:rsidRDefault="00203ED4" w:rsidP="00203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101B">
              <w:rPr>
                <w:color w:val="000000"/>
                <w:sz w:val="26"/>
                <w:szCs w:val="26"/>
              </w:rPr>
              <w:t>Giá vốn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C183" w14:textId="4D43FC11" w:rsidR="00203ED4" w:rsidRPr="00B8101B" w:rsidRDefault="00203ED4" w:rsidP="00203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101B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          (16,996,100)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9E5A" w14:textId="193349BF" w:rsidR="00203ED4" w:rsidRPr="00B8101B" w:rsidRDefault="00203ED4" w:rsidP="00203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101B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    2,070,034,316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9B6A" w14:textId="3B99A786" w:rsidR="00203ED4" w:rsidRPr="00B8101B" w:rsidRDefault="00203ED4" w:rsidP="00E01CB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8101B">
              <w:rPr>
                <w:rFonts w:ascii="Calibri" w:hAnsi="Calibri" w:cs="Calibri"/>
                <w:color w:val="000000"/>
                <w:sz w:val="26"/>
                <w:szCs w:val="26"/>
              </w:rPr>
              <w:t>-1%</w:t>
            </w:r>
          </w:p>
        </w:tc>
      </w:tr>
      <w:tr w:rsidR="00203ED4" w:rsidRPr="00B8101B" w14:paraId="7227C585" w14:textId="77777777" w:rsidTr="00F24A76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E5C4" w14:textId="2BCAF27A" w:rsidR="00203ED4" w:rsidRPr="00B8101B" w:rsidRDefault="00203ED4" w:rsidP="00203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101B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78A6" w14:textId="5673B4F7" w:rsidR="00203ED4" w:rsidRPr="00B8101B" w:rsidRDefault="00203ED4" w:rsidP="00203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101B">
              <w:rPr>
                <w:color w:val="000000"/>
                <w:sz w:val="26"/>
                <w:szCs w:val="26"/>
              </w:rPr>
              <w:t>Lợi nhuận gộp về bán hàng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8073" w14:textId="7F062A76" w:rsidR="00203ED4" w:rsidRPr="00B8101B" w:rsidRDefault="00203ED4" w:rsidP="00203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101B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      2,544,701,170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9743" w14:textId="2252CDED" w:rsidR="00203ED4" w:rsidRPr="00B8101B" w:rsidRDefault="00203ED4" w:rsidP="00203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101B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    3,773,102,784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DD3A" w14:textId="2D57901E" w:rsidR="00203ED4" w:rsidRPr="00B8101B" w:rsidRDefault="00203ED4" w:rsidP="00E01CB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8101B">
              <w:rPr>
                <w:rFonts w:ascii="Calibri" w:hAnsi="Calibri" w:cs="Calibri"/>
                <w:color w:val="000000"/>
                <w:sz w:val="26"/>
                <w:szCs w:val="26"/>
              </w:rPr>
              <w:t>67%</w:t>
            </w:r>
          </w:p>
        </w:tc>
      </w:tr>
      <w:tr w:rsidR="00203ED4" w:rsidRPr="00B8101B" w14:paraId="32EEEB49" w14:textId="77777777" w:rsidTr="00F24A76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17C25" w14:textId="332E0C94" w:rsidR="00203ED4" w:rsidRPr="00B8101B" w:rsidRDefault="00502593" w:rsidP="00203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101B">
              <w:rPr>
                <w:color w:val="000000"/>
                <w:sz w:val="26"/>
                <w:szCs w:val="26"/>
              </w:rPr>
              <w:t>4</w:t>
            </w:r>
            <w:r w:rsidR="00203ED4" w:rsidRPr="00B8101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488F5" w14:textId="4177D20A" w:rsidR="00203ED4" w:rsidRPr="00B8101B" w:rsidRDefault="00203ED4" w:rsidP="00203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101B">
              <w:rPr>
                <w:color w:val="000000"/>
                <w:sz w:val="26"/>
                <w:szCs w:val="26"/>
              </w:rPr>
              <w:t>Doanh thu hoạt động tài chính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0009" w14:textId="196764A0" w:rsidR="00203ED4" w:rsidRPr="00B8101B" w:rsidRDefault="00203ED4" w:rsidP="00203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101B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      1,033,363,073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3BBB" w14:textId="4F7BFC35" w:rsidR="00203ED4" w:rsidRPr="00B8101B" w:rsidRDefault="00203ED4" w:rsidP="00203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101B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    1,591,229,109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1BF9" w14:textId="7DA09FD3" w:rsidR="00203ED4" w:rsidRPr="00B8101B" w:rsidRDefault="00203ED4" w:rsidP="0054165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8101B">
              <w:rPr>
                <w:rFonts w:ascii="Calibri" w:hAnsi="Calibri" w:cs="Calibri"/>
                <w:color w:val="000000"/>
                <w:sz w:val="26"/>
                <w:szCs w:val="26"/>
              </w:rPr>
              <w:t>65%</w:t>
            </w:r>
          </w:p>
        </w:tc>
      </w:tr>
      <w:tr w:rsidR="00203ED4" w:rsidRPr="00B8101B" w14:paraId="7C0AC3DB" w14:textId="77777777" w:rsidTr="00F24A76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2278" w14:textId="08A569E7" w:rsidR="00203ED4" w:rsidRPr="00B8101B" w:rsidRDefault="00502593" w:rsidP="00203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101B">
              <w:rPr>
                <w:color w:val="000000"/>
                <w:sz w:val="26"/>
                <w:szCs w:val="26"/>
              </w:rPr>
              <w:t>6</w:t>
            </w:r>
            <w:r w:rsidR="00203ED4" w:rsidRPr="00B8101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80BFE" w14:textId="6C1A7359" w:rsidR="00203ED4" w:rsidRPr="00B8101B" w:rsidRDefault="00203ED4" w:rsidP="00203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101B">
              <w:rPr>
                <w:color w:val="000000"/>
                <w:sz w:val="26"/>
                <w:szCs w:val="26"/>
              </w:rPr>
              <w:t>Chi phí QLDN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E42B" w14:textId="0F199A01" w:rsidR="00203ED4" w:rsidRPr="00B8101B" w:rsidRDefault="00203ED4" w:rsidP="00203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101B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      2,802,482,147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17BD" w14:textId="7DABF65A" w:rsidR="00203ED4" w:rsidRPr="00B8101B" w:rsidRDefault="00203ED4" w:rsidP="00203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101B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    3,749,777,479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B0DC" w14:textId="0E624983" w:rsidR="00203ED4" w:rsidRPr="00B8101B" w:rsidRDefault="00203ED4" w:rsidP="0054165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8101B">
              <w:rPr>
                <w:rFonts w:ascii="Calibri" w:hAnsi="Calibri" w:cs="Calibri"/>
                <w:color w:val="000000"/>
                <w:sz w:val="26"/>
                <w:szCs w:val="26"/>
              </w:rPr>
              <w:t>75%</w:t>
            </w:r>
          </w:p>
        </w:tc>
      </w:tr>
      <w:tr w:rsidR="00502593" w:rsidRPr="00B8101B" w14:paraId="7F246B1C" w14:textId="77777777" w:rsidTr="00F24A76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76BC4" w14:textId="4CDC781E" w:rsidR="00502593" w:rsidRPr="00B8101B" w:rsidRDefault="00502593" w:rsidP="00203ED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B8101B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E42FB" w14:textId="65DF13ED" w:rsidR="00502593" w:rsidRPr="00B8101B" w:rsidRDefault="00502593" w:rsidP="00203ED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B8101B">
              <w:rPr>
                <w:color w:val="000000"/>
                <w:sz w:val="26"/>
                <w:szCs w:val="26"/>
              </w:rPr>
              <w:t>Lợi nhuận khác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C4591" w14:textId="23E96236" w:rsidR="00502593" w:rsidRPr="00B8101B" w:rsidRDefault="00502593" w:rsidP="00203ED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8101B">
              <w:rPr>
                <w:rFonts w:ascii="Calibri" w:hAnsi="Calibri" w:cs="Calibri"/>
                <w:color w:val="000000"/>
                <w:sz w:val="26"/>
                <w:szCs w:val="26"/>
              </w:rPr>
              <w:t>183.811.992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58FDC" w14:textId="45A4F3A6" w:rsidR="00502593" w:rsidRPr="00B8101B" w:rsidRDefault="00502593" w:rsidP="00203ED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8101B">
              <w:rPr>
                <w:rFonts w:ascii="Calibri" w:hAnsi="Calibri" w:cs="Calibri"/>
                <w:color w:val="000000"/>
                <w:sz w:val="26"/>
                <w:szCs w:val="26"/>
              </w:rPr>
              <w:t>2.340.906.362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CD000" w14:textId="7D24E04A" w:rsidR="00502593" w:rsidRPr="00B8101B" w:rsidRDefault="00502593" w:rsidP="0054165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8101B">
              <w:rPr>
                <w:rFonts w:ascii="Calibri" w:hAnsi="Calibri" w:cs="Calibri"/>
                <w:color w:val="000000"/>
                <w:sz w:val="26"/>
                <w:szCs w:val="26"/>
              </w:rPr>
              <w:t>7.8%</w:t>
            </w:r>
          </w:p>
        </w:tc>
      </w:tr>
      <w:tr w:rsidR="00203ED4" w:rsidRPr="00B8101B" w14:paraId="1824175B" w14:textId="77777777" w:rsidTr="00F24A76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A3E4" w14:textId="290496A9" w:rsidR="00203ED4" w:rsidRPr="00B8101B" w:rsidRDefault="00502593" w:rsidP="00203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101B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43B12" w14:textId="3E52730A" w:rsidR="00203ED4" w:rsidRPr="00B8101B" w:rsidRDefault="00203ED4" w:rsidP="0050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101B">
              <w:rPr>
                <w:color w:val="000000"/>
                <w:sz w:val="26"/>
                <w:szCs w:val="26"/>
              </w:rPr>
              <w:t xml:space="preserve">Lợi nhuận </w:t>
            </w:r>
            <w:r w:rsidR="00502593" w:rsidRPr="00B8101B">
              <w:rPr>
                <w:color w:val="000000"/>
                <w:sz w:val="26"/>
                <w:szCs w:val="26"/>
              </w:rPr>
              <w:t>trước thuế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E1D3" w14:textId="234D7025" w:rsidR="00203ED4" w:rsidRPr="00B8101B" w:rsidRDefault="00502593" w:rsidP="00203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101B">
              <w:rPr>
                <w:rFonts w:ascii="Calibri" w:hAnsi="Calibri" w:cs="Calibri"/>
                <w:color w:val="000000"/>
                <w:sz w:val="26"/>
                <w:szCs w:val="26"/>
              </w:rPr>
              <w:t>959.394.088</w:t>
            </w:r>
            <w:r w:rsidR="00203ED4" w:rsidRPr="00B8101B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5603" w14:textId="7A0C0FBF" w:rsidR="00203ED4" w:rsidRPr="00B8101B" w:rsidRDefault="00203ED4" w:rsidP="0050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101B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    </w:t>
            </w:r>
            <w:r w:rsidR="00502593" w:rsidRPr="00B8101B">
              <w:rPr>
                <w:rFonts w:ascii="Calibri" w:hAnsi="Calibri" w:cs="Calibri"/>
                <w:color w:val="000000"/>
                <w:sz w:val="26"/>
                <w:szCs w:val="26"/>
              </w:rPr>
              <w:t>3.955.460.776</w:t>
            </w:r>
            <w:r w:rsidRPr="00B8101B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7C51" w14:textId="29E799FC" w:rsidR="00203ED4" w:rsidRPr="00B8101B" w:rsidRDefault="00203ED4" w:rsidP="0054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101B">
              <w:rPr>
                <w:rFonts w:ascii="Calibri" w:hAnsi="Calibri" w:cs="Calibri"/>
                <w:color w:val="000000"/>
                <w:sz w:val="26"/>
                <w:szCs w:val="26"/>
              </w:rPr>
              <w:t>48%</w:t>
            </w:r>
          </w:p>
        </w:tc>
      </w:tr>
      <w:bookmarkEnd w:id="6"/>
    </w:tbl>
    <w:p w14:paraId="79EFD278" w14:textId="39CDE107" w:rsidR="00433F1B" w:rsidRPr="00B8101B" w:rsidRDefault="00433F1B" w:rsidP="006F1943">
      <w:pPr>
        <w:pStyle w:val="ListParagraph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00B20D32" w14:textId="5AAF9EA3" w:rsidR="00203ED4" w:rsidRPr="00B8101B" w:rsidRDefault="00203ED4" w:rsidP="004314D2">
      <w:pPr>
        <w:pStyle w:val="ListParagraph"/>
        <w:numPr>
          <w:ilvl w:val="0"/>
          <w:numId w:val="6"/>
        </w:numPr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Doanh thu và lợi nhuận năm 2021 giảm so với năm 202</w:t>
      </w:r>
      <w:r w:rsidR="00AD6DF9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0</w:t>
      </w:r>
      <w:r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là do: </w:t>
      </w:r>
    </w:p>
    <w:p w14:paraId="2A3EAE79" w14:textId="49B0D4E9" w:rsidR="00203ED4" w:rsidRPr="00B8101B" w:rsidRDefault="00203ED4" w:rsidP="004314D2">
      <w:pPr>
        <w:pStyle w:val="ListParagraph"/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+Năm 2020 thanh lý TSCĐ và chuyển nhượng cổ phần nên lợi nhuận tăng.</w:t>
      </w:r>
    </w:p>
    <w:p w14:paraId="3D4C34DE" w14:textId="553FED13" w:rsidR="00203ED4" w:rsidRPr="00B8101B" w:rsidRDefault="00203ED4" w:rsidP="004314D2">
      <w:pPr>
        <w:pStyle w:val="ListParagraph"/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+ Năm 2021 do ảnh hưởng của đại dịch covid nên việc cho thuê nhà xưởng và dịch vụ tiền gửi ngân hàng giảm.</w:t>
      </w:r>
    </w:p>
    <w:p w14:paraId="5D62BA2E" w14:textId="3B7B26C7" w:rsidR="006F1943" w:rsidRPr="00B8101B" w:rsidRDefault="006F1943" w:rsidP="004314D2">
      <w:pPr>
        <w:pStyle w:val="ListParagraph"/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B8101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PHẦN II: KẾ HOẠCH HOẠT ĐỘNG KINH DOANH NĂM 202</w:t>
      </w:r>
      <w:r w:rsidR="00203ED4" w:rsidRPr="00B8101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</w:t>
      </w:r>
    </w:p>
    <w:p w14:paraId="538A2C02" w14:textId="09E346E2" w:rsidR="006F1943" w:rsidRPr="00B8101B" w:rsidRDefault="006F1943" w:rsidP="004314D2">
      <w:pPr>
        <w:pStyle w:val="ListParagraph"/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Trên cơ sở </w:t>
      </w:r>
      <w:r w:rsidR="005E6D47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chức năng</w:t>
      </w:r>
      <w:r w:rsidR="00AD65CD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nhiệm v</w:t>
      </w:r>
      <w:r w:rsidR="00AD65CD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ụ</w:t>
      </w:r>
      <w:r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của BKS được quy định tại Điều lệ của Công ty , căn cứ vào kế hoạch thực hiện năm 202</w:t>
      </w:r>
      <w:r w:rsidR="00AD6DF9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BKS xác định trọng tâm công tác như sau:</w:t>
      </w:r>
    </w:p>
    <w:p w14:paraId="38088E38" w14:textId="6F23002D" w:rsidR="006F1943" w:rsidRPr="00B8101B" w:rsidRDefault="006F1943" w:rsidP="004314D2">
      <w:pPr>
        <w:pStyle w:val="ListParagraph"/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1/ Giám sát việc tuân thủ các quy định của pháp luật và điều lệ trong việc quản trị và điều hành </w:t>
      </w:r>
      <w:r w:rsidR="007270DD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thực</w:t>
      </w:r>
      <w:r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hiện Nghị Quyết của ĐHĐCĐ năm 202</w:t>
      </w:r>
      <w:r w:rsidR="00AD6DF9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5AE60A1C" w14:textId="3F93DDEA" w:rsidR="006F1943" w:rsidRPr="00B8101B" w:rsidRDefault="00170F9F" w:rsidP="004314D2">
      <w:pPr>
        <w:pStyle w:val="ListParagraph"/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 w:rsidR="006F1943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/ </w:t>
      </w:r>
      <w:r w:rsidR="00EC1ECE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Kiểm soát tài chính theo kế hoạch , </w:t>
      </w:r>
      <w:r w:rsidR="006F1943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Thẩm định báo cáo tài chính năm 2021.</w:t>
      </w:r>
    </w:p>
    <w:p w14:paraId="41FDC2E1" w14:textId="01CCB9DD" w:rsidR="006F1943" w:rsidRPr="00B8101B" w:rsidRDefault="00170F9F" w:rsidP="004314D2">
      <w:pPr>
        <w:pStyle w:val="ListParagraph"/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7" w:name="_Hlk105660275"/>
      <w:r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</w:t>
      </w:r>
      <w:r w:rsidR="006F1943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/ Các công việc khác theo yêu cầu của cổ đô</w:t>
      </w:r>
      <w:r w:rsidR="00AF4722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ng.</w:t>
      </w:r>
    </w:p>
    <w:bookmarkEnd w:id="7"/>
    <w:p w14:paraId="03182FAB" w14:textId="77777777" w:rsidR="00F14C9A" w:rsidRPr="00B8101B" w:rsidRDefault="00F14C9A" w:rsidP="004314D2">
      <w:pPr>
        <w:pStyle w:val="ListParagraph"/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5ABEEEB6" w14:textId="0CFF69C8" w:rsidR="006F1943" w:rsidRPr="00B8101B" w:rsidRDefault="006F1943" w:rsidP="004314D2">
      <w:pPr>
        <w:pStyle w:val="ListParagraph"/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B8101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PHẦN III: KIẾN NGHỊ ĐỀ XUẤT</w:t>
      </w:r>
    </w:p>
    <w:p w14:paraId="3D89D5C7" w14:textId="05A4A062" w:rsidR="006F1943" w:rsidRPr="00B8101B" w:rsidRDefault="006F1943" w:rsidP="004314D2">
      <w:pPr>
        <w:pStyle w:val="ListParagraph"/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 Để </w:t>
      </w:r>
      <w:r w:rsidR="00B156BC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giả</w:t>
      </w:r>
      <w:r w:rsidR="00FA6373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i</w:t>
      </w:r>
      <w:r w:rsidR="00B156BC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quyết các tồn tại từ các năm về tr</w:t>
      </w:r>
      <w:r w:rsidR="00FA6373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ước</w:t>
      </w:r>
      <w:r w:rsidR="00B156BC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0D68A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Ban kiểm soát </w:t>
      </w:r>
      <w:r w:rsidR="00B156BC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có một số kiến nghị đối với HĐQT, B</w:t>
      </w:r>
      <w:r w:rsidR="000D68A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an giám đốc</w:t>
      </w:r>
      <w:r w:rsidR="00B156BC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như sau:</w:t>
      </w:r>
    </w:p>
    <w:p w14:paraId="0E842F41" w14:textId="77777777" w:rsidR="0083660E" w:rsidRPr="00B8101B" w:rsidRDefault="009C09B0" w:rsidP="004314D2">
      <w:pPr>
        <w:pStyle w:val="ListParagraph"/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1/ </w:t>
      </w:r>
      <w:r w:rsidR="0083660E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Chỉ đạo phòng kế toán  đ</w:t>
      </w:r>
      <w:r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ôn đốc, giải quyết dứt điểm công nợ các công trình đã được cơ quan có thẩm quyền duyệt quyết toán; </w:t>
      </w:r>
    </w:p>
    <w:p w14:paraId="76F52E90" w14:textId="6646BBD2" w:rsidR="0083660E" w:rsidRPr="00B8101B" w:rsidRDefault="0083660E" w:rsidP="004314D2">
      <w:pPr>
        <w:pStyle w:val="ListParagraph"/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2/ Chỉ đạo các cá nhân liên quan đến công trình </w:t>
      </w:r>
      <w:r w:rsidR="009C09B0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đã duyệt quyết toán cung cấp hồ sơ quyết toán cho phòng kế toán kịp thời để xử lý kê khai điều chỉnh thuế theo quy định</w:t>
      </w:r>
      <w:r w:rsidR="00851540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14:paraId="2F108EEF" w14:textId="6B7FE1F1" w:rsidR="009C09B0" w:rsidRPr="00B8101B" w:rsidRDefault="0083660E" w:rsidP="004314D2">
      <w:pPr>
        <w:pStyle w:val="ListParagraph"/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 xml:space="preserve">3/ </w:t>
      </w:r>
      <w:r w:rsidR="00107494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Chỉ đạo các cá nhân liên quan đến thi công c</w:t>
      </w:r>
      <w:r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ác công trình</w:t>
      </w:r>
      <w:r w:rsidR="00107494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từ các năm trước </w:t>
      </w:r>
      <w:r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chưa được duyệt quyết toán </w:t>
      </w:r>
      <w:r w:rsidR="00107494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nay </w:t>
      </w:r>
      <w:r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đôn đốc chủ đầu tư duyệt quyết toán để thanh toán công nợ cho dứt điểm. </w:t>
      </w:r>
      <w:r w:rsidR="009C09B0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</w:t>
      </w:r>
    </w:p>
    <w:p w14:paraId="38B6CFBA" w14:textId="4FD2FDE6" w:rsidR="00B156BC" w:rsidRPr="00B8101B" w:rsidRDefault="0083660E" w:rsidP="004314D2">
      <w:pPr>
        <w:pStyle w:val="ListParagraph"/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</w:t>
      </w:r>
      <w:r w:rsidR="00B156BC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/ Triển khai giải quyết các trường hợp nợ khó đòi </w:t>
      </w:r>
      <w:r w:rsidR="006668C6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từ các năm trước </w:t>
      </w:r>
      <w:r w:rsidR="00B156BC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không rõ đối tượng</w:t>
      </w:r>
      <w:r w:rsidR="006668C6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B156BC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không có khả năng chi trả.</w:t>
      </w:r>
    </w:p>
    <w:p w14:paraId="7C4AEB67" w14:textId="341A9981" w:rsidR="00FA6373" w:rsidRPr="00B8101B" w:rsidRDefault="0083660E" w:rsidP="004314D2">
      <w:pPr>
        <w:pStyle w:val="ListParagraph"/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</w:t>
      </w:r>
      <w:r w:rsidR="00FA6373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/ Lập hồ sơ của các tổ chức</w:t>
      </w:r>
      <w:r w:rsidR="00FC3AF0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="00FA6373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cá nhân nợ đọng theo đúng trình  để có đủ căn cứ xử lý theo Luật quy định.</w:t>
      </w:r>
    </w:p>
    <w:p w14:paraId="52DF8F62" w14:textId="3140844B" w:rsidR="00CD1862" w:rsidRPr="00B8101B" w:rsidRDefault="00CD1862" w:rsidP="004314D2">
      <w:pPr>
        <w:pStyle w:val="ListParagraph"/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Trên đây là báo cáo của ban kiểm soát trình Đại hội đồng cổ đông thường niên năm 202</w:t>
      </w:r>
      <w:r w:rsidR="006F66A6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14:paraId="059EAC62" w14:textId="2B894798" w:rsidR="00DB042D" w:rsidRPr="00B8101B" w:rsidRDefault="00CD1862" w:rsidP="00DB042D">
      <w:pPr>
        <w:pStyle w:val="ListParagraph"/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Ban kiểm soát xin trân thành cảm ơn HĐQT và BGĐ công ty đã tạo điều kiện để Ban kiểm soát hoàn thành nhiệm vụ. </w:t>
      </w:r>
      <w:r w:rsidR="00DB042D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7E0ABE0E" w14:textId="7BD77643" w:rsidR="00611537" w:rsidRPr="00B8101B" w:rsidRDefault="00051878" w:rsidP="00E96FEE">
      <w:pPr>
        <w:spacing w:after="0" w:line="312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Kính trình</w:t>
      </w:r>
      <w:r w:rsidR="00172BC9" w:rsidRPr="00B810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!</w:t>
      </w:r>
    </w:p>
    <w:tbl>
      <w:tblPr>
        <w:tblW w:w="9293" w:type="dxa"/>
        <w:tblInd w:w="596" w:type="dxa"/>
        <w:tblLook w:val="01E0" w:firstRow="1" w:lastRow="1" w:firstColumn="1" w:lastColumn="1" w:noHBand="0" w:noVBand="0"/>
      </w:tblPr>
      <w:tblGrid>
        <w:gridCol w:w="4080"/>
        <w:gridCol w:w="5213"/>
      </w:tblGrid>
      <w:tr w:rsidR="000C518E" w:rsidRPr="000C518E" w14:paraId="0ACBA326" w14:textId="77777777" w:rsidTr="000D7C40">
        <w:trPr>
          <w:trHeight w:val="2679"/>
        </w:trPr>
        <w:tc>
          <w:tcPr>
            <w:tcW w:w="4080" w:type="dxa"/>
          </w:tcPr>
          <w:p w14:paraId="7D2A13F8" w14:textId="0BA2CB1D" w:rsidR="00FD0001" w:rsidRPr="000C518E" w:rsidRDefault="00FD0001" w:rsidP="000D7C40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C51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</w:t>
            </w:r>
            <w:r w:rsidRPr="000C518E">
              <w:rPr>
                <w:rFonts w:ascii="Times New Roman" w:hAnsi="Times New Roman" w:cs="Times New Roman"/>
                <w:b/>
                <w:color w:val="000000" w:themeColor="text1"/>
                <w:lang w:val="vi-VN"/>
              </w:rPr>
              <w:t xml:space="preserve">          </w:t>
            </w:r>
          </w:p>
          <w:p w14:paraId="21BE95C4" w14:textId="1790428B" w:rsidR="00FD0001" w:rsidRPr="000C518E" w:rsidRDefault="00FD0001" w:rsidP="00E0230E">
            <w:pPr>
              <w:spacing w:line="28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13" w:type="dxa"/>
          </w:tcPr>
          <w:p w14:paraId="2784449D" w14:textId="4B305095" w:rsidR="00FD0001" w:rsidRDefault="005745A2" w:rsidP="000D7C40">
            <w:pPr>
              <w:spacing w:before="120" w:line="28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051878">
              <w:rPr>
                <w:rFonts w:ascii="Times New Roman" w:hAnsi="Times New Roman" w:cs="Times New Roman"/>
                <w:b/>
                <w:color w:val="000000" w:themeColor="text1"/>
              </w:rPr>
              <w:t>TM/BAN KIỂM SOÁT</w:t>
            </w:r>
          </w:p>
          <w:p w14:paraId="6AF6EBBC" w14:textId="1DBE8D00" w:rsidR="00051878" w:rsidRDefault="00051878" w:rsidP="000D7C40">
            <w:pPr>
              <w:spacing w:before="120" w:line="28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TRƯỞNG BAN</w:t>
            </w:r>
          </w:p>
          <w:p w14:paraId="14558B44" w14:textId="77777777" w:rsidR="00051878" w:rsidRDefault="00051878" w:rsidP="000D7C40">
            <w:pPr>
              <w:spacing w:before="120" w:line="28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30CC6F18" w14:textId="77777777" w:rsidR="00051878" w:rsidRDefault="00051878" w:rsidP="000D7C40">
            <w:pPr>
              <w:spacing w:before="120" w:line="28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2DCEB8D2" w14:textId="729EA30B" w:rsidR="00051878" w:rsidRPr="000C518E" w:rsidRDefault="00051878" w:rsidP="000D7C40">
            <w:pPr>
              <w:spacing w:before="120" w:line="28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NGUYỄN THỊ DƯ</w:t>
            </w:r>
          </w:p>
          <w:p w14:paraId="18490EA8" w14:textId="77777777" w:rsidR="00FD0001" w:rsidRPr="000C518E" w:rsidRDefault="00FD0001" w:rsidP="000D7C40">
            <w:pPr>
              <w:spacing w:line="28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5C411C8" w14:textId="77777777" w:rsidR="00FD0001" w:rsidRPr="000C518E" w:rsidRDefault="00FD0001" w:rsidP="000D7C40">
            <w:pPr>
              <w:spacing w:line="28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DEAFBD4" w14:textId="77777777" w:rsidR="00FD0001" w:rsidRPr="000C518E" w:rsidRDefault="00FD0001" w:rsidP="0066424D">
            <w:pPr>
              <w:spacing w:line="280" w:lineRule="atLeast"/>
              <w:ind w:left="176" w:hanging="17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413EA5F2" w14:textId="77777777" w:rsidR="00611537" w:rsidRPr="000C518E" w:rsidRDefault="00611537" w:rsidP="00611537">
      <w:pPr>
        <w:spacing w:after="0" w:line="312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4"/>
        </w:rPr>
      </w:pPr>
    </w:p>
    <w:p w14:paraId="1B711726" w14:textId="77777777" w:rsidR="00611537" w:rsidRPr="000C518E" w:rsidRDefault="00611537" w:rsidP="00611537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611537" w:rsidRPr="000C518E" w:rsidSect="00E0230E">
      <w:footerReference w:type="default" r:id="rId8"/>
      <w:pgSz w:w="11907" w:h="16840" w:code="9"/>
      <w:pgMar w:top="851" w:right="1134" w:bottom="426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32132" w14:textId="77777777" w:rsidR="003F68D3" w:rsidRDefault="003F68D3" w:rsidP="00092626">
      <w:pPr>
        <w:spacing w:after="0" w:line="240" w:lineRule="auto"/>
      </w:pPr>
      <w:r>
        <w:separator/>
      </w:r>
    </w:p>
  </w:endnote>
  <w:endnote w:type="continuationSeparator" w:id="0">
    <w:p w14:paraId="7F9A3F92" w14:textId="77777777" w:rsidR="003F68D3" w:rsidRDefault="003F68D3" w:rsidP="0009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Black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vant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75009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4FDA75" w14:textId="49292A1C" w:rsidR="00092626" w:rsidRDefault="000926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0EE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4C1D41D" w14:textId="77777777" w:rsidR="00092626" w:rsidRDefault="000926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3BC3B" w14:textId="77777777" w:rsidR="003F68D3" w:rsidRDefault="003F68D3" w:rsidP="00092626">
      <w:pPr>
        <w:spacing w:after="0" w:line="240" w:lineRule="auto"/>
      </w:pPr>
      <w:r>
        <w:separator/>
      </w:r>
    </w:p>
  </w:footnote>
  <w:footnote w:type="continuationSeparator" w:id="0">
    <w:p w14:paraId="60B4203F" w14:textId="77777777" w:rsidR="003F68D3" w:rsidRDefault="003F68D3" w:rsidP="00092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42ECE"/>
    <w:multiLevelType w:val="hybridMultilevel"/>
    <w:tmpl w:val="43DA8288"/>
    <w:lvl w:ilvl="0" w:tplc="660A12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95BB5"/>
    <w:multiLevelType w:val="hybridMultilevel"/>
    <w:tmpl w:val="01EAD000"/>
    <w:lvl w:ilvl="0" w:tplc="7460EC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82C40"/>
    <w:multiLevelType w:val="hybridMultilevel"/>
    <w:tmpl w:val="65FA81AE"/>
    <w:lvl w:ilvl="0" w:tplc="5E1AA7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84225"/>
    <w:multiLevelType w:val="hybridMultilevel"/>
    <w:tmpl w:val="280EF58E"/>
    <w:lvl w:ilvl="0" w:tplc="F60607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85D50"/>
    <w:multiLevelType w:val="hybridMultilevel"/>
    <w:tmpl w:val="16FAB49C"/>
    <w:lvl w:ilvl="0" w:tplc="24006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EC5043"/>
    <w:multiLevelType w:val="hybridMultilevel"/>
    <w:tmpl w:val="0630ACB2"/>
    <w:lvl w:ilvl="0" w:tplc="1F044F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37"/>
    <w:rsid w:val="00002AFB"/>
    <w:rsid w:val="000102E2"/>
    <w:rsid w:val="00013B18"/>
    <w:rsid w:val="00017670"/>
    <w:rsid w:val="00051878"/>
    <w:rsid w:val="00052953"/>
    <w:rsid w:val="00066439"/>
    <w:rsid w:val="00075680"/>
    <w:rsid w:val="00076E4D"/>
    <w:rsid w:val="00090AF7"/>
    <w:rsid w:val="00092626"/>
    <w:rsid w:val="00092FCF"/>
    <w:rsid w:val="000A09F5"/>
    <w:rsid w:val="000A171D"/>
    <w:rsid w:val="000A5E0C"/>
    <w:rsid w:val="000B712D"/>
    <w:rsid w:val="000C518E"/>
    <w:rsid w:val="000D68A7"/>
    <w:rsid w:val="000E401E"/>
    <w:rsid w:val="000F1383"/>
    <w:rsid w:val="001051EA"/>
    <w:rsid w:val="001061AB"/>
    <w:rsid w:val="00107494"/>
    <w:rsid w:val="00124592"/>
    <w:rsid w:val="00150945"/>
    <w:rsid w:val="001561CA"/>
    <w:rsid w:val="00170F9F"/>
    <w:rsid w:val="00172BC9"/>
    <w:rsid w:val="001A0FED"/>
    <w:rsid w:val="001C20D1"/>
    <w:rsid w:val="001D4379"/>
    <w:rsid w:val="001E3819"/>
    <w:rsid w:val="001F6FE6"/>
    <w:rsid w:val="00200698"/>
    <w:rsid w:val="00203ED4"/>
    <w:rsid w:val="002167B7"/>
    <w:rsid w:val="00230C1B"/>
    <w:rsid w:val="002337F2"/>
    <w:rsid w:val="00256225"/>
    <w:rsid w:val="00256991"/>
    <w:rsid w:val="00270E4C"/>
    <w:rsid w:val="00276228"/>
    <w:rsid w:val="00290B1B"/>
    <w:rsid w:val="00294337"/>
    <w:rsid w:val="002A591A"/>
    <w:rsid w:val="002B11B0"/>
    <w:rsid w:val="002B384C"/>
    <w:rsid w:val="002C25F9"/>
    <w:rsid w:val="002C3FD0"/>
    <w:rsid w:val="002E15BA"/>
    <w:rsid w:val="00321078"/>
    <w:rsid w:val="00335F5C"/>
    <w:rsid w:val="00343A70"/>
    <w:rsid w:val="00373CA8"/>
    <w:rsid w:val="00384E30"/>
    <w:rsid w:val="003861D1"/>
    <w:rsid w:val="00386727"/>
    <w:rsid w:val="003B23BD"/>
    <w:rsid w:val="003C6D2A"/>
    <w:rsid w:val="003D65C1"/>
    <w:rsid w:val="003D7A4D"/>
    <w:rsid w:val="003E4896"/>
    <w:rsid w:val="003E620D"/>
    <w:rsid w:val="003F47E4"/>
    <w:rsid w:val="003F61A9"/>
    <w:rsid w:val="003F68D3"/>
    <w:rsid w:val="00404471"/>
    <w:rsid w:val="00411ADC"/>
    <w:rsid w:val="00427409"/>
    <w:rsid w:val="00430EEB"/>
    <w:rsid w:val="004314D2"/>
    <w:rsid w:val="004315FF"/>
    <w:rsid w:val="00433024"/>
    <w:rsid w:val="00433F1B"/>
    <w:rsid w:val="00444EE3"/>
    <w:rsid w:val="00446361"/>
    <w:rsid w:val="004657E3"/>
    <w:rsid w:val="00472A9A"/>
    <w:rsid w:val="0048450D"/>
    <w:rsid w:val="0048691F"/>
    <w:rsid w:val="0049342B"/>
    <w:rsid w:val="004976E8"/>
    <w:rsid w:val="004977EA"/>
    <w:rsid w:val="004B3942"/>
    <w:rsid w:val="004B4599"/>
    <w:rsid w:val="004C3C87"/>
    <w:rsid w:val="004D3A35"/>
    <w:rsid w:val="004F1B54"/>
    <w:rsid w:val="00502593"/>
    <w:rsid w:val="0052049B"/>
    <w:rsid w:val="00526B63"/>
    <w:rsid w:val="00534077"/>
    <w:rsid w:val="00534CA9"/>
    <w:rsid w:val="00536562"/>
    <w:rsid w:val="00541655"/>
    <w:rsid w:val="00547191"/>
    <w:rsid w:val="005531BF"/>
    <w:rsid w:val="00566EE2"/>
    <w:rsid w:val="005745A2"/>
    <w:rsid w:val="005776EF"/>
    <w:rsid w:val="005841E7"/>
    <w:rsid w:val="005A341D"/>
    <w:rsid w:val="005B52C9"/>
    <w:rsid w:val="005C08FC"/>
    <w:rsid w:val="005C1435"/>
    <w:rsid w:val="005C73F1"/>
    <w:rsid w:val="005E386E"/>
    <w:rsid w:val="005E6D47"/>
    <w:rsid w:val="005F59C8"/>
    <w:rsid w:val="00604E23"/>
    <w:rsid w:val="00611537"/>
    <w:rsid w:val="00632338"/>
    <w:rsid w:val="0064196C"/>
    <w:rsid w:val="00655B04"/>
    <w:rsid w:val="00660A36"/>
    <w:rsid w:val="0066424D"/>
    <w:rsid w:val="006668C6"/>
    <w:rsid w:val="00677203"/>
    <w:rsid w:val="00681FFD"/>
    <w:rsid w:val="006843CE"/>
    <w:rsid w:val="006B02E1"/>
    <w:rsid w:val="006D02F2"/>
    <w:rsid w:val="006E299B"/>
    <w:rsid w:val="006F11B1"/>
    <w:rsid w:val="006F1943"/>
    <w:rsid w:val="006F4145"/>
    <w:rsid w:val="006F66A6"/>
    <w:rsid w:val="00700496"/>
    <w:rsid w:val="00716784"/>
    <w:rsid w:val="00725E69"/>
    <w:rsid w:val="007270DD"/>
    <w:rsid w:val="00733566"/>
    <w:rsid w:val="0073402A"/>
    <w:rsid w:val="007420BF"/>
    <w:rsid w:val="007554C3"/>
    <w:rsid w:val="00762851"/>
    <w:rsid w:val="00763798"/>
    <w:rsid w:val="007760AC"/>
    <w:rsid w:val="00780543"/>
    <w:rsid w:val="00791340"/>
    <w:rsid w:val="00792362"/>
    <w:rsid w:val="007A75C1"/>
    <w:rsid w:val="007B493B"/>
    <w:rsid w:val="007B5143"/>
    <w:rsid w:val="007B6093"/>
    <w:rsid w:val="007C3341"/>
    <w:rsid w:val="007C76C7"/>
    <w:rsid w:val="007D17F3"/>
    <w:rsid w:val="007D5FC6"/>
    <w:rsid w:val="007E535A"/>
    <w:rsid w:val="007F0133"/>
    <w:rsid w:val="007F0E02"/>
    <w:rsid w:val="007F47F5"/>
    <w:rsid w:val="007F4FAF"/>
    <w:rsid w:val="007F7172"/>
    <w:rsid w:val="00811549"/>
    <w:rsid w:val="00820FC8"/>
    <w:rsid w:val="008333D4"/>
    <w:rsid w:val="0083660E"/>
    <w:rsid w:val="008470BC"/>
    <w:rsid w:val="00851196"/>
    <w:rsid w:val="00851540"/>
    <w:rsid w:val="008555F2"/>
    <w:rsid w:val="00865DAC"/>
    <w:rsid w:val="008706E1"/>
    <w:rsid w:val="008736F7"/>
    <w:rsid w:val="00884AA4"/>
    <w:rsid w:val="00884C4F"/>
    <w:rsid w:val="00890DB6"/>
    <w:rsid w:val="008B39DE"/>
    <w:rsid w:val="008B5D3E"/>
    <w:rsid w:val="008B7732"/>
    <w:rsid w:val="008C2DC5"/>
    <w:rsid w:val="008C43FC"/>
    <w:rsid w:val="008D5623"/>
    <w:rsid w:val="008D7A3E"/>
    <w:rsid w:val="008E5228"/>
    <w:rsid w:val="008E67B5"/>
    <w:rsid w:val="008F1B6E"/>
    <w:rsid w:val="0090627F"/>
    <w:rsid w:val="00913589"/>
    <w:rsid w:val="00930AAF"/>
    <w:rsid w:val="00931208"/>
    <w:rsid w:val="009536A8"/>
    <w:rsid w:val="00972744"/>
    <w:rsid w:val="009906CF"/>
    <w:rsid w:val="00996CD8"/>
    <w:rsid w:val="009A1982"/>
    <w:rsid w:val="009C09B0"/>
    <w:rsid w:val="009D4FD3"/>
    <w:rsid w:val="009F4161"/>
    <w:rsid w:val="009F68CE"/>
    <w:rsid w:val="00A01885"/>
    <w:rsid w:val="00A34FBA"/>
    <w:rsid w:val="00A46945"/>
    <w:rsid w:val="00A51F41"/>
    <w:rsid w:val="00A5293A"/>
    <w:rsid w:val="00A559D2"/>
    <w:rsid w:val="00A55E81"/>
    <w:rsid w:val="00A569AC"/>
    <w:rsid w:val="00A63E85"/>
    <w:rsid w:val="00A6486D"/>
    <w:rsid w:val="00A77675"/>
    <w:rsid w:val="00A82022"/>
    <w:rsid w:val="00A8475A"/>
    <w:rsid w:val="00A92E79"/>
    <w:rsid w:val="00A95CCE"/>
    <w:rsid w:val="00A97F45"/>
    <w:rsid w:val="00AB4FDB"/>
    <w:rsid w:val="00AD65CD"/>
    <w:rsid w:val="00AD6DF9"/>
    <w:rsid w:val="00AF4722"/>
    <w:rsid w:val="00AF6702"/>
    <w:rsid w:val="00B156BC"/>
    <w:rsid w:val="00B2130A"/>
    <w:rsid w:val="00B341F4"/>
    <w:rsid w:val="00B3479E"/>
    <w:rsid w:val="00B364F8"/>
    <w:rsid w:val="00B4133F"/>
    <w:rsid w:val="00B466F9"/>
    <w:rsid w:val="00B5432C"/>
    <w:rsid w:val="00B547F9"/>
    <w:rsid w:val="00B63549"/>
    <w:rsid w:val="00B8101B"/>
    <w:rsid w:val="00B917C1"/>
    <w:rsid w:val="00BB59AF"/>
    <w:rsid w:val="00BB7DDF"/>
    <w:rsid w:val="00BE1C19"/>
    <w:rsid w:val="00BF6521"/>
    <w:rsid w:val="00C06198"/>
    <w:rsid w:val="00C13345"/>
    <w:rsid w:val="00C142EF"/>
    <w:rsid w:val="00C52EEE"/>
    <w:rsid w:val="00C605DB"/>
    <w:rsid w:val="00C7195F"/>
    <w:rsid w:val="00C875CD"/>
    <w:rsid w:val="00C95701"/>
    <w:rsid w:val="00CB0C9B"/>
    <w:rsid w:val="00CC7FA4"/>
    <w:rsid w:val="00CD1862"/>
    <w:rsid w:val="00CE4F8A"/>
    <w:rsid w:val="00CF22FD"/>
    <w:rsid w:val="00CF263E"/>
    <w:rsid w:val="00CF356E"/>
    <w:rsid w:val="00D12F76"/>
    <w:rsid w:val="00D156C7"/>
    <w:rsid w:val="00D2159E"/>
    <w:rsid w:val="00D22B4A"/>
    <w:rsid w:val="00D34036"/>
    <w:rsid w:val="00D34C95"/>
    <w:rsid w:val="00D371FD"/>
    <w:rsid w:val="00D533C8"/>
    <w:rsid w:val="00D745D2"/>
    <w:rsid w:val="00D75B8E"/>
    <w:rsid w:val="00DA1BF1"/>
    <w:rsid w:val="00DA4595"/>
    <w:rsid w:val="00DA6987"/>
    <w:rsid w:val="00DB042D"/>
    <w:rsid w:val="00DB06AE"/>
    <w:rsid w:val="00DB29E3"/>
    <w:rsid w:val="00DD1909"/>
    <w:rsid w:val="00DE5F1C"/>
    <w:rsid w:val="00DF170C"/>
    <w:rsid w:val="00DF27B8"/>
    <w:rsid w:val="00E01CB3"/>
    <w:rsid w:val="00E0230E"/>
    <w:rsid w:val="00E17922"/>
    <w:rsid w:val="00E20A60"/>
    <w:rsid w:val="00E45EC3"/>
    <w:rsid w:val="00E61D69"/>
    <w:rsid w:val="00E81497"/>
    <w:rsid w:val="00E96FEE"/>
    <w:rsid w:val="00EA0047"/>
    <w:rsid w:val="00EA754A"/>
    <w:rsid w:val="00EB2917"/>
    <w:rsid w:val="00EC16A9"/>
    <w:rsid w:val="00EC1ECE"/>
    <w:rsid w:val="00EC4298"/>
    <w:rsid w:val="00ED2388"/>
    <w:rsid w:val="00ED76D6"/>
    <w:rsid w:val="00EF7127"/>
    <w:rsid w:val="00F03497"/>
    <w:rsid w:val="00F052BD"/>
    <w:rsid w:val="00F14C9A"/>
    <w:rsid w:val="00F2061E"/>
    <w:rsid w:val="00F518A2"/>
    <w:rsid w:val="00F622F4"/>
    <w:rsid w:val="00F720D4"/>
    <w:rsid w:val="00FA6373"/>
    <w:rsid w:val="00FA788B"/>
    <w:rsid w:val="00FC007B"/>
    <w:rsid w:val="00FC120A"/>
    <w:rsid w:val="00FC3AF0"/>
    <w:rsid w:val="00FC650D"/>
    <w:rsid w:val="00FD0001"/>
    <w:rsid w:val="00FD2836"/>
    <w:rsid w:val="00FE2E85"/>
    <w:rsid w:val="00FF494D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4AF3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11537"/>
    <w:pPr>
      <w:keepNext/>
      <w:autoSpaceDE w:val="0"/>
      <w:autoSpaceDN w:val="0"/>
      <w:spacing w:after="0" w:line="240" w:lineRule="auto"/>
      <w:jc w:val="both"/>
      <w:outlineLvl w:val="1"/>
    </w:pPr>
    <w:rPr>
      <w:rFonts w:ascii=".VnBlackH" w:eastAsia="Times New Roman" w:hAnsi=".VnBlackH" w:cs=".VnBlackH"/>
      <w:b/>
      <w:bCs/>
      <w:spacing w:val="-4"/>
      <w:sz w:val="23"/>
      <w:szCs w:val="23"/>
    </w:rPr>
  </w:style>
  <w:style w:type="paragraph" w:styleId="Heading3">
    <w:name w:val="heading 3"/>
    <w:basedOn w:val="Normal"/>
    <w:next w:val="Normal"/>
    <w:link w:val="Heading3Char"/>
    <w:qFormat/>
    <w:rsid w:val="00611537"/>
    <w:pPr>
      <w:keepNext/>
      <w:autoSpaceDE w:val="0"/>
      <w:autoSpaceDN w:val="0"/>
      <w:spacing w:before="300" w:after="0" w:line="240" w:lineRule="auto"/>
      <w:jc w:val="both"/>
      <w:outlineLvl w:val="2"/>
    </w:pPr>
    <w:rPr>
      <w:rFonts w:ascii=".VnAvant" w:eastAsia="Times New Roman" w:hAnsi=".VnAvant" w:cs=".VnAvant"/>
      <w:b/>
      <w:bCs/>
      <w:spacing w:val="-10"/>
      <w:position w:val="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11537"/>
    <w:rPr>
      <w:rFonts w:ascii=".VnBlackH" w:eastAsia="Times New Roman" w:hAnsi=".VnBlackH" w:cs=".VnBlackH"/>
      <w:b/>
      <w:bCs/>
      <w:spacing w:val="-4"/>
      <w:sz w:val="23"/>
      <w:szCs w:val="23"/>
    </w:rPr>
  </w:style>
  <w:style w:type="character" w:customStyle="1" w:styleId="Heading3Char">
    <w:name w:val="Heading 3 Char"/>
    <w:basedOn w:val="DefaultParagraphFont"/>
    <w:link w:val="Heading3"/>
    <w:rsid w:val="00611537"/>
    <w:rPr>
      <w:rFonts w:ascii=".VnAvant" w:eastAsia="Times New Roman" w:hAnsi=".VnAvant" w:cs=".VnAvant"/>
      <w:b/>
      <w:bCs/>
      <w:spacing w:val="-10"/>
      <w:position w:val="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5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0001"/>
    <w:pPr>
      <w:ind w:left="720"/>
      <w:contextualSpacing/>
    </w:pPr>
  </w:style>
  <w:style w:type="table" w:styleId="TableGrid">
    <w:name w:val="Table Grid"/>
    <w:basedOn w:val="TableNormal"/>
    <w:uiPriority w:val="59"/>
    <w:rsid w:val="007F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97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F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F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F4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92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626"/>
  </w:style>
  <w:style w:type="paragraph" w:styleId="Footer">
    <w:name w:val="footer"/>
    <w:basedOn w:val="Normal"/>
    <w:link w:val="FooterChar"/>
    <w:uiPriority w:val="99"/>
    <w:unhideWhenUsed/>
    <w:rsid w:val="00092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6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11537"/>
    <w:pPr>
      <w:keepNext/>
      <w:autoSpaceDE w:val="0"/>
      <w:autoSpaceDN w:val="0"/>
      <w:spacing w:after="0" w:line="240" w:lineRule="auto"/>
      <w:jc w:val="both"/>
      <w:outlineLvl w:val="1"/>
    </w:pPr>
    <w:rPr>
      <w:rFonts w:ascii=".VnBlackH" w:eastAsia="Times New Roman" w:hAnsi=".VnBlackH" w:cs=".VnBlackH"/>
      <w:b/>
      <w:bCs/>
      <w:spacing w:val="-4"/>
      <w:sz w:val="23"/>
      <w:szCs w:val="23"/>
    </w:rPr>
  </w:style>
  <w:style w:type="paragraph" w:styleId="Heading3">
    <w:name w:val="heading 3"/>
    <w:basedOn w:val="Normal"/>
    <w:next w:val="Normal"/>
    <w:link w:val="Heading3Char"/>
    <w:qFormat/>
    <w:rsid w:val="00611537"/>
    <w:pPr>
      <w:keepNext/>
      <w:autoSpaceDE w:val="0"/>
      <w:autoSpaceDN w:val="0"/>
      <w:spacing w:before="300" w:after="0" w:line="240" w:lineRule="auto"/>
      <w:jc w:val="both"/>
      <w:outlineLvl w:val="2"/>
    </w:pPr>
    <w:rPr>
      <w:rFonts w:ascii=".VnAvant" w:eastAsia="Times New Roman" w:hAnsi=".VnAvant" w:cs=".VnAvant"/>
      <w:b/>
      <w:bCs/>
      <w:spacing w:val="-10"/>
      <w:position w:val="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11537"/>
    <w:rPr>
      <w:rFonts w:ascii=".VnBlackH" w:eastAsia="Times New Roman" w:hAnsi=".VnBlackH" w:cs=".VnBlackH"/>
      <w:b/>
      <w:bCs/>
      <w:spacing w:val="-4"/>
      <w:sz w:val="23"/>
      <w:szCs w:val="23"/>
    </w:rPr>
  </w:style>
  <w:style w:type="character" w:customStyle="1" w:styleId="Heading3Char">
    <w:name w:val="Heading 3 Char"/>
    <w:basedOn w:val="DefaultParagraphFont"/>
    <w:link w:val="Heading3"/>
    <w:rsid w:val="00611537"/>
    <w:rPr>
      <w:rFonts w:ascii=".VnAvant" w:eastAsia="Times New Roman" w:hAnsi=".VnAvant" w:cs=".VnAvant"/>
      <w:b/>
      <w:bCs/>
      <w:spacing w:val="-10"/>
      <w:position w:val="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5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0001"/>
    <w:pPr>
      <w:ind w:left="720"/>
      <w:contextualSpacing/>
    </w:pPr>
  </w:style>
  <w:style w:type="table" w:styleId="TableGrid">
    <w:name w:val="Table Grid"/>
    <w:basedOn w:val="TableNormal"/>
    <w:uiPriority w:val="59"/>
    <w:rsid w:val="007F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97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F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F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F4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92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626"/>
  </w:style>
  <w:style w:type="paragraph" w:styleId="Footer">
    <w:name w:val="footer"/>
    <w:basedOn w:val="Normal"/>
    <w:link w:val="FooterChar"/>
    <w:uiPriority w:val="99"/>
    <w:unhideWhenUsed/>
    <w:rsid w:val="00092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Inc.</Company>
  <LinksUpToDate>false</LinksUpToDate>
  <CharactersWithSpaces>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User</cp:lastModifiedBy>
  <cp:revision>136</cp:revision>
  <cp:lastPrinted>2022-06-09T06:55:00Z</cp:lastPrinted>
  <dcterms:created xsi:type="dcterms:W3CDTF">2022-06-09T02:49:00Z</dcterms:created>
  <dcterms:modified xsi:type="dcterms:W3CDTF">2022-06-30T09:13:00Z</dcterms:modified>
</cp:coreProperties>
</file>